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snapToGrid w:val="0"/>
        <w:spacing w:line="600" w:lineRule="exact"/>
        <w:ind w:leftChars="0"/>
        <w:jc w:val="center"/>
        <w:textAlignment w:val="auto"/>
        <w:rPr>
          <w:rFonts w:hint="eastAsia" w:ascii="黑体" w:hAnsi="黑体" w:eastAsia="方正小标宋简体" w:cs="黑体"/>
          <w:b/>
          <w:bCs/>
          <w:color w:val="auto"/>
          <w:spacing w:val="0"/>
          <w:sz w:val="44"/>
          <w:szCs w:val="44"/>
          <w:lang w:val="en-US" w:eastAsia="zh-CN"/>
        </w:rPr>
      </w:pPr>
      <w:r>
        <w:rPr>
          <w:rFonts w:hint="eastAsia" w:ascii="方正小标宋简体" w:hAnsi="方正小标宋简体" w:eastAsia="方正小标宋简体" w:cs="方正小标宋简体"/>
          <w:b w:val="0"/>
          <w:bCs w:val="0"/>
          <w:color w:val="auto"/>
          <w:spacing w:val="0"/>
          <w:sz w:val="44"/>
          <w:szCs w:val="44"/>
          <w:lang w:eastAsia="zh-CN"/>
        </w:rPr>
        <w:t>铜仁市红色</w:t>
      </w:r>
      <w:r>
        <w:rPr>
          <w:rFonts w:hint="eastAsia" w:ascii="方正小标宋简体" w:hAnsi="方正小标宋简体" w:eastAsia="方正小标宋简体" w:cs="方正小标宋简体"/>
          <w:b w:val="0"/>
          <w:bCs w:val="0"/>
          <w:color w:val="auto"/>
          <w:spacing w:val="0"/>
          <w:sz w:val="44"/>
          <w:szCs w:val="44"/>
          <w:lang w:val="en-US" w:eastAsia="zh-CN"/>
        </w:rPr>
        <w:t>遗址遗迹</w:t>
      </w:r>
      <w:r>
        <w:rPr>
          <w:rFonts w:hint="eastAsia" w:ascii="方正小标宋简体" w:hAnsi="方正小标宋简体" w:eastAsia="方正小标宋简体" w:cs="方正小标宋简体"/>
          <w:b w:val="0"/>
          <w:bCs w:val="0"/>
          <w:color w:val="auto"/>
          <w:spacing w:val="0"/>
          <w:sz w:val="44"/>
          <w:szCs w:val="44"/>
        </w:rPr>
        <w:t>保护条例</w:t>
      </w:r>
      <w:r>
        <w:rPr>
          <w:rFonts w:hint="eastAsia" w:ascii="方正小标宋简体" w:hAnsi="方正小标宋简体" w:eastAsia="方正小标宋简体" w:cs="方正小标宋简体"/>
          <w:b w:val="0"/>
          <w:bCs w:val="0"/>
          <w:color w:val="auto"/>
          <w:spacing w:val="0"/>
          <w:sz w:val="44"/>
          <w:szCs w:val="44"/>
          <w:lang w:eastAsia="zh-CN"/>
        </w:rPr>
        <w:t>（草案）</w:t>
      </w:r>
    </w:p>
    <w:p>
      <w:pPr>
        <w:keepNext w:val="0"/>
        <w:keepLines w:val="0"/>
        <w:pageBreakBefore w:val="0"/>
        <w:widowControl/>
        <w:kinsoku/>
        <w:wordWrap/>
        <w:overflowPunct/>
        <w:topLinePunct w:val="0"/>
        <w:autoSpaceDE/>
        <w:autoSpaceDN/>
        <w:bidi w:val="0"/>
        <w:adjustRightInd w:val="0"/>
        <w:snapToGrid w:val="0"/>
        <w:spacing w:line="600" w:lineRule="exact"/>
        <w:ind w:leftChars="0"/>
        <w:jc w:val="center"/>
        <w:textAlignment w:val="auto"/>
        <w:rPr>
          <w:rFonts w:hint="eastAsia" w:ascii="楷体_GB2312" w:hAnsi="楷体_GB2312" w:eastAsia="楷体_GB2312" w:cs="楷体_GB2312"/>
          <w:b w:val="0"/>
          <w:bCs w:val="0"/>
          <w:color w:val="auto"/>
          <w:spacing w:val="0"/>
          <w:sz w:val="32"/>
          <w:szCs w:val="32"/>
          <w:lang w:eastAsia="zh-CN"/>
        </w:rPr>
      </w:pPr>
      <w:r>
        <w:rPr>
          <w:rFonts w:hint="eastAsia" w:ascii="楷体_GB2312" w:hAnsi="楷体_GB2312" w:eastAsia="楷体_GB2312" w:cs="楷体_GB2312"/>
          <w:b w:val="0"/>
          <w:bCs w:val="0"/>
          <w:color w:val="auto"/>
          <w:spacing w:val="0"/>
          <w:sz w:val="32"/>
          <w:szCs w:val="32"/>
        </w:rPr>
        <w:t>（</w:t>
      </w:r>
      <w:r>
        <w:rPr>
          <w:rFonts w:hint="eastAsia" w:ascii="楷体_GB2312" w:hAnsi="楷体_GB2312" w:eastAsia="楷体_GB2312" w:cs="楷体_GB2312"/>
          <w:b w:val="0"/>
          <w:bCs w:val="0"/>
          <w:color w:val="auto"/>
          <w:spacing w:val="0"/>
          <w:sz w:val="32"/>
          <w:szCs w:val="32"/>
          <w:lang w:val="en-US" w:eastAsia="zh-CN"/>
        </w:rPr>
        <w:t>征求意见稿</w:t>
      </w:r>
      <w:r>
        <w:rPr>
          <w:rFonts w:hint="eastAsia" w:ascii="楷体_GB2312" w:hAnsi="楷体_GB2312" w:eastAsia="楷体_GB2312" w:cs="楷体_GB2312"/>
          <w:b w:val="0"/>
          <w:bCs w:val="0"/>
          <w:color w:val="auto"/>
          <w:spacing w:val="0"/>
          <w:sz w:val="32"/>
          <w:szCs w:val="32"/>
        </w:rPr>
        <w:t>）</w:t>
      </w:r>
    </w:p>
    <w:p>
      <w:pPr>
        <w:pStyle w:val="9"/>
        <w:keepNext w:val="0"/>
        <w:keepLines w:val="0"/>
        <w:pageBreakBefore w:val="0"/>
        <w:widowControl/>
        <w:kinsoku/>
        <w:wordWrap/>
        <w:overflowPunct/>
        <w:topLinePunct w:val="0"/>
        <w:autoSpaceDE/>
        <w:autoSpaceDN/>
        <w:bidi w:val="0"/>
        <w:adjustRightInd w:val="0"/>
        <w:snapToGrid w:val="0"/>
        <w:spacing w:line="600" w:lineRule="exact"/>
        <w:ind w:leftChars="0" w:firstLine="640" w:firstLineChars="200"/>
        <w:textAlignment w:val="auto"/>
        <w:rPr>
          <w:rFonts w:hint="eastAsia" w:ascii="仿宋" w:hAnsi="仿宋" w:eastAsia="仿宋" w:cs="宋体"/>
          <w:color w:val="auto"/>
          <w:spacing w:val="0"/>
          <w:szCs w:val="32"/>
        </w:rPr>
      </w:pPr>
    </w:p>
    <w:p>
      <w:pPr>
        <w:pStyle w:val="9"/>
        <w:keepNext w:val="0"/>
        <w:keepLines w:val="0"/>
        <w:pageBreakBefore w:val="0"/>
        <w:widowControl/>
        <w:kinsoku/>
        <w:wordWrap/>
        <w:overflowPunct/>
        <w:topLinePunct w:val="0"/>
        <w:autoSpaceDE/>
        <w:autoSpaceDN/>
        <w:bidi w:val="0"/>
        <w:adjustRightInd w:val="0"/>
        <w:snapToGrid w:val="0"/>
        <w:spacing w:line="600" w:lineRule="exact"/>
        <w:ind w:leftChars="0"/>
        <w:jc w:val="center"/>
        <w:textAlignment w:val="auto"/>
        <w:rPr>
          <w:rFonts w:hint="eastAsia" w:ascii="黑体" w:hAnsi="黑体" w:eastAsia="黑体" w:cs="黑体"/>
          <w:b w:val="0"/>
          <w:bCs w:val="0"/>
          <w:color w:val="auto"/>
          <w:spacing w:val="0"/>
          <w:sz w:val="36"/>
          <w:szCs w:val="36"/>
          <w:lang w:eastAsia="zh-CN"/>
        </w:rPr>
      </w:pPr>
      <w:r>
        <w:rPr>
          <w:rFonts w:hint="eastAsia" w:ascii="黑体" w:hAnsi="黑体" w:eastAsia="黑体" w:cs="黑体"/>
          <w:b w:val="0"/>
          <w:bCs w:val="0"/>
          <w:color w:val="auto"/>
          <w:spacing w:val="0"/>
          <w:sz w:val="36"/>
          <w:szCs w:val="36"/>
          <w:lang w:eastAsia="zh-CN"/>
        </w:rPr>
        <w:t>目</w:t>
      </w:r>
      <w:r>
        <w:rPr>
          <w:rFonts w:hint="eastAsia" w:ascii="黑体" w:hAnsi="黑体" w:eastAsia="黑体" w:cs="黑体"/>
          <w:b w:val="0"/>
          <w:bCs w:val="0"/>
          <w:color w:val="auto"/>
          <w:spacing w:val="0"/>
          <w:sz w:val="36"/>
          <w:szCs w:val="36"/>
          <w:lang w:val="en-US" w:eastAsia="zh-CN"/>
        </w:rPr>
        <w:t xml:space="preserve">  </w:t>
      </w:r>
      <w:r>
        <w:rPr>
          <w:rFonts w:hint="eastAsia" w:ascii="黑体" w:hAnsi="黑体" w:eastAsia="黑体" w:cs="黑体"/>
          <w:b w:val="0"/>
          <w:bCs w:val="0"/>
          <w:color w:val="auto"/>
          <w:spacing w:val="0"/>
          <w:sz w:val="36"/>
          <w:szCs w:val="36"/>
          <w:lang w:eastAsia="zh-CN"/>
        </w:rPr>
        <w:t>录</w:t>
      </w:r>
    </w:p>
    <w:p>
      <w:pPr>
        <w:pStyle w:val="9"/>
        <w:keepNext w:val="0"/>
        <w:keepLines w:val="0"/>
        <w:pageBreakBefore w:val="0"/>
        <w:widowControl/>
        <w:kinsoku/>
        <w:wordWrap/>
        <w:overflowPunct/>
        <w:topLinePunct w:val="0"/>
        <w:autoSpaceDE/>
        <w:autoSpaceDN/>
        <w:bidi w:val="0"/>
        <w:adjustRightInd w:val="0"/>
        <w:snapToGrid w:val="0"/>
        <w:spacing w:line="600" w:lineRule="exact"/>
        <w:ind w:leftChars="0" w:firstLine="723" w:firstLineChars="200"/>
        <w:jc w:val="center"/>
        <w:textAlignment w:val="auto"/>
        <w:rPr>
          <w:rFonts w:hint="eastAsia" w:ascii="黑体" w:hAnsi="黑体" w:eastAsia="黑体" w:cs="黑体"/>
          <w:b/>
          <w:bCs/>
          <w:color w:val="auto"/>
          <w:spacing w:val="0"/>
          <w:sz w:val="36"/>
          <w:szCs w:val="36"/>
          <w:lang w:eastAsia="zh-CN"/>
        </w:rPr>
      </w:pPr>
    </w:p>
    <w:p>
      <w:pPr>
        <w:pStyle w:val="9"/>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eastAsia" w:ascii="黑体" w:hAnsi="黑体" w:eastAsia="黑体" w:cs="黑体"/>
          <w:color w:val="auto"/>
          <w:spacing w:val="0"/>
          <w:kern w:val="2"/>
          <w:sz w:val="32"/>
          <w:szCs w:val="32"/>
          <w:lang w:val="en-US" w:eastAsia="zh-CN" w:bidi="ar-SA"/>
        </w:rPr>
      </w:pPr>
      <w:r>
        <w:rPr>
          <w:rFonts w:hint="eastAsia" w:ascii="黑体" w:hAnsi="黑体" w:eastAsia="黑体" w:cs="黑体"/>
          <w:color w:val="auto"/>
          <w:spacing w:val="0"/>
          <w:kern w:val="2"/>
          <w:sz w:val="32"/>
          <w:szCs w:val="32"/>
          <w:lang w:val="en-US" w:eastAsia="zh-CN" w:bidi="ar-SA"/>
        </w:rPr>
        <w:t>第一章  总则</w:t>
      </w:r>
    </w:p>
    <w:p>
      <w:pPr>
        <w:pStyle w:val="9"/>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eastAsia" w:ascii="黑体" w:hAnsi="黑体" w:eastAsia="黑体" w:cs="黑体"/>
          <w:color w:val="auto"/>
          <w:spacing w:val="0"/>
          <w:kern w:val="2"/>
          <w:sz w:val="32"/>
          <w:szCs w:val="32"/>
          <w:lang w:val="en-US" w:eastAsia="zh-CN" w:bidi="ar-SA"/>
        </w:rPr>
      </w:pPr>
      <w:r>
        <w:rPr>
          <w:rFonts w:hint="eastAsia" w:ascii="黑体" w:hAnsi="黑体" w:eastAsia="黑体" w:cs="黑体"/>
          <w:color w:val="auto"/>
          <w:spacing w:val="0"/>
          <w:kern w:val="2"/>
          <w:sz w:val="32"/>
          <w:szCs w:val="32"/>
          <w:lang w:val="en-US" w:eastAsia="zh-CN" w:bidi="ar-SA"/>
        </w:rPr>
        <w:t>第二章  保护管理</w:t>
      </w:r>
    </w:p>
    <w:p>
      <w:pPr>
        <w:pStyle w:val="9"/>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eastAsia" w:ascii="黑体" w:hAnsi="黑体" w:eastAsia="黑体" w:cs="黑体"/>
          <w:color w:val="auto"/>
          <w:spacing w:val="0"/>
          <w:kern w:val="2"/>
          <w:sz w:val="32"/>
          <w:szCs w:val="32"/>
          <w:lang w:val="en-US" w:eastAsia="zh-CN" w:bidi="ar-SA"/>
        </w:rPr>
      </w:pPr>
      <w:r>
        <w:rPr>
          <w:rFonts w:hint="eastAsia" w:ascii="黑体" w:hAnsi="黑体" w:eastAsia="黑体" w:cs="黑体"/>
          <w:color w:val="auto"/>
          <w:spacing w:val="0"/>
          <w:kern w:val="2"/>
          <w:sz w:val="32"/>
          <w:szCs w:val="32"/>
          <w:lang w:val="en-US" w:eastAsia="zh-CN" w:bidi="ar-SA"/>
        </w:rPr>
        <w:t>第三章  传承利用</w:t>
      </w:r>
    </w:p>
    <w:p>
      <w:pPr>
        <w:pStyle w:val="9"/>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eastAsia" w:ascii="黑体" w:hAnsi="黑体" w:eastAsia="黑体" w:cs="黑体"/>
          <w:color w:val="auto"/>
          <w:spacing w:val="0"/>
          <w:kern w:val="2"/>
          <w:sz w:val="32"/>
          <w:szCs w:val="32"/>
          <w:lang w:val="en-US" w:eastAsia="zh-CN" w:bidi="ar-SA"/>
        </w:rPr>
      </w:pPr>
      <w:r>
        <w:rPr>
          <w:rFonts w:hint="eastAsia" w:ascii="黑体" w:hAnsi="黑体" w:eastAsia="黑体" w:cs="黑体"/>
          <w:color w:val="auto"/>
          <w:spacing w:val="0"/>
          <w:kern w:val="2"/>
          <w:sz w:val="32"/>
          <w:szCs w:val="32"/>
          <w:lang w:val="en-US" w:eastAsia="zh-CN" w:bidi="ar-SA"/>
        </w:rPr>
        <w:t>第四章  法律责任</w:t>
      </w:r>
    </w:p>
    <w:p>
      <w:pPr>
        <w:pStyle w:val="9"/>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eastAsia" w:ascii="黑体" w:hAnsi="黑体" w:eastAsia="黑体" w:cs="黑体"/>
          <w:color w:val="auto"/>
          <w:spacing w:val="0"/>
          <w:kern w:val="2"/>
          <w:sz w:val="32"/>
          <w:szCs w:val="32"/>
          <w:lang w:val="en-US" w:eastAsia="zh-CN" w:bidi="ar-SA"/>
        </w:rPr>
      </w:pPr>
      <w:r>
        <w:rPr>
          <w:rFonts w:hint="eastAsia" w:ascii="黑体" w:hAnsi="黑体" w:eastAsia="黑体" w:cs="黑体"/>
          <w:color w:val="auto"/>
          <w:spacing w:val="0"/>
          <w:kern w:val="2"/>
          <w:sz w:val="32"/>
          <w:szCs w:val="32"/>
          <w:lang w:val="en-US" w:eastAsia="zh-CN" w:bidi="ar-SA"/>
        </w:rPr>
        <w:t>第五章  附则</w:t>
      </w:r>
    </w:p>
    <w:p>
      <w:pPr>
        <w:pStyle w:val="9"/>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leftChars="0"/>
        <w:jc w:val="center"/>
        <w:textAlignment w:val="auto"/>
        <w:rPr>
          <w:rFonts w:hint="eastAsia" w:ascii="黑体" w:hAnsi="黑体" w:eastAsia="黑体" w:cs="黑体"/>
          <w:color w:val="auto"/>
          <w:spacing w:val="0"/>
          <w:kern w:val="2"/>
          <w:sz w:val="32"/>
          <w:szCs w:val="32"/>
          <w:lang w:val="en-US" w:eastAsia="zh-CN" w:bidi="ar-SA"/>
        </w:rPr>
      </w:pPr>
    </w:p>
    <w:p>
      <w:pPr>
        <w:pStyle w:val="9"/>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leftChars="0"/>
        <w:jc w:val="center"/>
        <w:textAlignment w:val="auto"/>
        <w:rPr>
          <w:rFonts w:hint="eastAsia" w:ascii="黑体" w:hAnsi="黑体" w:eastAsia="黑体" w:cs="黑体"/>
          <w:color w:val="auto"/>
          <w:spacing w:val="0"/>
          <w:kern w:val="2"/>
          <w:sz w:val="32"/>
          <w:szCs w:val="32"/>
          <w:lang w:val="en-US" w:eastAsia="zh-CN" w:bidi="ar-SA"/>
        </w:rPr>
      </w:pPr>
      <w:r>
        <w:rPr>
          <w:rFonts w:hint="eastAsia" w:ascii="黑体" w:hAnsi="黑体" w:eastAsia="黑体" w:cs="黑体"/>
          <w:color w:val="auto"/>
          <w:spacing w:val="0"/>
          <w:kern w:val="2"/>
          <w:sz w:val="32"/>
          <w:szCs w:val="32"/>
          <w:lang w:val="en-US" w:eastAsia="zh-CN" w:bidi="ar-SA"/>
        </w:rPr>
        <w:t>第一章  总  则</w:t>
      </w:r>
    </w:p>
    <w:p>
      <w:pPr>
        <w:pStyle w:val="9"/>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leftChars="0"/>
        <w:jc w:val="both"/>
        <w:textAlignment w:val="auto"/>
        <w:rPr>
          <w:rFonts w:hint="eastAsia" w:ascii="仿宋_GB2312" w:hAnsi="仿宋_GB2312" w:eastAsia="仿宋_GB2312" w:cs="仿宋_GB2312"/>
          <w:color w:val="auto"/>
          <w:spacing w:val="0"/>
          <w:sz w:val="32"/>
          <w:szCs w:val="32"/>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napToGrid w:val="0"/>
        <w:spacing w:before="0" w:beforeAutospacing="0" w:afterAutospacing="0" w:line="600" w:lineRule="exact"/>
        <w:ind w:leftChars="0" w:right="0" w:firstLine="640" w:firstLineChars="200"/>
        <w:jc w:val="both"/>
        <w:textAlignment w:val="auto"/>
        <w:rPr>
          <w:rFonts w:hint="eastAsia" w:ascii="仿宋_GB2312" w:hAnsi="仿宋_GB2312" w:eastAsia="仿宋_GB2312" w:cs="仿宋_GB2312"/>
          <w:color w:val="auto"/>
          <w:spacing w:val="0"/>
          <w:kern w:val="2"/>
          <w:sz w:val="32"/>
          <w:szCs w:val="32"/>
          <w:lang w:val="en-US" w:eastAsia="zh-CN" w:bidi="ar-SA"/>
        </w:rPr>
      </w:pPr>
      <w:r>
        <w:rPr>
          <w:rFonts w:hint="eastAsia" w:ascii="黑体" w:hAnsi="黑体" w:eastAsia="黑体" w:cs="黑体"/>
          <w:color w:val="auto"/>
          <w:spacing w:val="0"/>
          <w:kern w:val="2"/>
          <w:sz w:val="32"/>
          <w:szCs w:val="32"/>
          <w:lang w:val="en-US" w:eastAsia="zh-CN" w:bidi="ar-SA"/>
        </w:rPr>
        <w:t xml:space="preserve">第一条  </w:t>
      </w:r>
      <w:r>
        <w:rPr>
          <w:rFonts w:hint="eastAsia" w:ascii="仿宋_GB2312" w:hAnsi="仿宋_GB2312" w:eastAsia="仿宋_GB2312" w:cs="仿宋_GB2312"/>
          <w:color w:val="auto"/>
          <w:spacing w:val="0"/>
          <w:kern w:val="2"/>
          <w:sz w:val="32"/>
          <w:szCs w:val="32"/>
          <w:lang w:val="en-US" w:eastAsia="zh-CN" w:bidi="ar-SA"/>
        </w:rPr>
        <w:t>为了加强红色遗址遗迹保护，弘扬红色文化，传承红色基因，践行社会主义核心价值观，根据《中华人民共和国文物保护法》《中华人民共和国英雄烈士保护法》等法律、法规的规定，结合本市实际，制定本条例。</w:t>
      </w:r>
    </w:p>
    <w:p>
      <w:pPr>
        <w:pStyle w:val="9"/>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leftChars="0"/>
        <w:textAlignment w:val="auto"/>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sz w:val="32"/>
          <w:szCs w:val="32"/>
          <w:lang w:val="en-US" w:eastAsia="zh-CN"/>
        </w:rPr>
        <w:t xml:space="preserve">   </w:t>
      </w:r>
      <w:r>
        <w:rPr>
          <w:rFonts w:hint="eastAsia" w:ascii="黑体" w:hAnsi="黑体" w:eastAsia="黑体" w:cs="黑体"/>
          <w:color w:val="auto"/>
          <w:spacing w:val="0"/>
          <w:kern w:val="2"/>
          <w:sz w:val="32"/>
          <w:szCs w:val="32"/>
          <w:lang w:val="en-US" w:eastAsia="zh-CN" w:bidi="ar-SA"/>
        </w:rPr>
        <w:t xml:space="preserve"> 第二条  </w:t>
      </w:r>
      <w:r>
        <w:rPr>
          <w:rFonts w:hint="eastAsia" w:ascii="仿宋_GB2312" w:hAnsi="仿宋_GB2312" w:eastAsia="仿宋_GB2312" w:cs="仿宋_GB2312"/>
          <w:color w:val="auto"/>
          <w:spacing w:val="0"/>
          <w:kern w:val="2"/>
          <w:sz w:val="32"/>
          <w:szCs w:val="32"/>
          <w:lang w:val="en-US" w:eastAsia="zh-CN" w:bidi="ar-SA"/>
        </w:rPr>
        <w:t>本市行政区域内红色遗址遗迹的保护管理和传承利用等活动适用本条例。</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本条例所称红色遗址遗迹，是指中国共产党成立以来，团结带领各族人民进行革命、建设、改革事业中，在本市行政区域内形成的具有历史价值、纪念意义、教育作用的遗址、遗迹和纪念设施。包括：</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napToGrid w:val="0"/>
        <w:spacing w:before="0" w:beforeAutospacing="0" w:afterAutospacing="0" w:line="600" w:lineRule="exact"/>
        <w:ind w:leftChars="0" w:right="0" w:firstLine="640" w:firstLineChars="200"/>
        <w:jc w:val="both"/>
        <w:textAlignment w:val="auto"/>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（一）黔东特区革命委员会、苏维埃政府、红军指挥部等重要机构和枫香溪会议等重要会议的旧址；</w:t>
      </w:r>
    </w:p>
    <w:p>
      <w:pPr>
        <w:pStyle w:val="9"/>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（二）木黄会师、困牛山战斗等重要事件、重大战斗的发生地；</w:t>
      </w:r>
    </w:p>
    <w:p>
      <w:pPr>
        <w:pStyle w:val="9"/>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（三）周逸群、旷继勋等英雄烈士和欧百川等重要人物故居、旧居、活动地；</w:t>
      </w:r>
    </w:p>
    <w:p>
      <w:pPr>
        <w:pStyle w:val="9"/>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（四）烈士墓地、烈士陵园、纪念塑像、纪念碑（塔）、红色场馆；</w:t>
      </w:r>
    </w:p>
    <w:p>
      <w:pPr>
        <w:pStyle w:val="9"/>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（五）红军驻地房屋以及反映红军活动的标语、文献资料；</w:t>
      </w:r>
    </w:p>
    <w:p>
      <w:pPr>
        <w:pStyle w:val="9"/>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w:t>
      </w:r>
      <w:r>
        <w:rPr>
          <w:rFonts w:hint="eastAsia" w:ascii="仿宋_GB2312" w:hAnsi="仿宋_GB2312" w:cs="仿宋_GB2312"/>
          <w:color w:val="auto"/>
          <w:spacing w:val="0"/>
          <w:kern w:val="2"/>
          <w:sz w:val="32"/>
          <w:szCs w:val="32"/>
          <w:lang w:val="en-US" w:eastAsia="zh-CN" w:bidi="ar-SA"/>
        </w:rPr>
        <w:t>六</w:t>
      </w:r>
      <w:r>
        <w:rPr>
          <w:rFonts w:hint="eastAsia" w:ascii="仿宋_GB2312" w:hAnsi="仿宋_GB2312" w:eastAsia="仿宋_GB2312" w:cs="仿宋_GB2312"/>
          <w:color w:val="auto"/>
          <w:spacing w:val="0"/>
          <w:kern w:val="2"/>
          <w:sz w:val="32"/>
          <w:szCs w:val="32"/>
          <w:lang w:val="en-US" w:eastAsia="zh-CN" w:bidi="ar-SA"/>
        </w:rPr>
        <w:t>）其他具有保护价值的红色遗址遗迹。</w:t>
      </w:r>
    </w:p>
    <w:p>
      <w:pPr>
        <w:pStyle w:val="13"/>
        <w:keepNext w:val="0"/>
        <w:keepLines w:val="0"/>
        <w:pageBreakBefore w:val="0"/>
        <w:widowControl/>
        <w:suppressLineNumbers w:val="0"/>
        <w:kinsoku/>
        <w:wordWrap/>
        <w:overflowPunct/>
        <w:topLinePunct w:val="0"/>
        <w:autoSpaceDE/>
        <w:autoSpaceDN/>
        <w:bidi w:val="0"/>
        <w:snapToGrid w:val="0"/>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color w:val="auto"/>
          <w:spacing w:val="0"/>
          <w:kern w:val="2"/>
          <w:sz w:val="32"/>
          <w:szCs w:val="32"/>
          <w:lang w:val="en-US" w:eastAsia="zh-CN" w:bidi="ar-SA"/>
        </w:rPr>
      </w:pPr>
      <w:r>
        <w:rPr>
          <w:rFonts w:hint="eastAsia" w:ascii="黑体" w:hAnsi="黑体" w:eastAsia="黑体" w:cs="黑体"/>
          <w:color w:val="auto"/>
          <w:spacing w:val="0"/>
          <w:kern w:val="2"/>
          <w:sz w:val="32"/>
          <w:szCs w:val="32"/>
          <w:lang w:val="en-US" w:eastAsia="zh-CN" w:bidi="ar-SA"/>
        </w:rPr>
        <w:t xml:space="preserve">第三条  </w:t>
      </w:r>
      <w:r>
        <w:rPr>
          <w:rFonts w:hint="eastAsia" w:ascii="仿宋_GB2312" w:hAnsi="仿宋_GB2312" w:eastAsia="仿宋_GB2312" w:cs="仿宋_GB2312"/>
          <w:color w:val="auto"/>
          <w:spacing w:val="0"/>
          <w:kern w:val="2"/>
          <w:sz w:val="32"/>
          <w:szCs w:val="32"/>
          <w:lang w:val="en-US" w:eastAsia="zh-CN" w:bidi="ar-SA"/>
        </w:rPr>
        <w:t>红色遗址遗迹保护工作应当坚持保护为主、属地管理、依靠群众、社会参与、教育引导、传承利用的原则，保持红色遗址遗迹的历史真实性、风貌完整性和文化延续性。</w:t>
      </w:r>
    </w:p>
    <w:p>
      <w:pPr>
        <w:pStyle w:val="13"/>
        <w:keepNext w:val="0"/>
        <w:keepLines w:val="0"/>
        <w:pageBreakBefore w:val="0"/>
        <w:widowControl/>
        <w:suppressLineNumbers w:val="0"/>
        <w:kinsoku/>
        <w:wordWrap/>
        <w:overflowPunct/>
        <w:topLinePunct w:val="0"/>
        <w:autoSpaceDE/>
        <w:autoSpaceDN/>
        <w:bidi w:val="0"/>
        <w:snapToGrid w:val="0"/>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color w:val="auto"/>
          <w:spacing w:val="0"/>
          <w:kern w:val="2"/>
          <w:sz w:val="32"/>
          <w:szCs w:val="32"/>
          <w:lang w:val="en-US" w:eastAsia="zh-CN" w:bidi="ar-SA"/>
        </w:rPr>
      </w:pPr>
      <w:r>
        <w:rPr>
          <w:rFonts w:hint="eastAsia" w:ascii="黑体" w:hAnsi="黑体" w:eastAsia="黑体" w:cs="黑体"/>
          <w:color w:val="auto"/>
          <w:spacing w:val="0"/>
          <w:kern w:val="2"/>
          <w:sz w:val="32"/>
          <w:szCs w:val="32"/>
          <w:lang w:val="en-US" w:eastAsia="zh-CN" w:bidi="ar-SA"/>
        </w:rPr>
        <w:t xml:space="preserve">第四条 </w:t>
      </w:r>
      <w:r>
        <w:rPr>
          <w:rFonts w:hint="eastAsia" w:ascii="仿宋_GB2312" w:hAnsi="仿宋_GB2312" w:eastAsia="仿宋_GB2312" w:cs="仿宋_GB2312"/>
          <w:color w:val="auto"/>
          <w:spacing w:val="0"/>
          <w:sz w:val="32"/>
          <w:szCs w:val="32"/>
          <w:lang w:val="en-US" w:eastAsia="zh-CN"/>
        </w:rPr>
        <w:t xml:space="preserve"> </w:t>
      </w:r>
      <w:r>
        <w:rPr>
          <w:rFonts w:hint="eastAsia" w:ascii="仿宋_GB2312" w:hAnsi="仿宋_GB2312" w:eastAsia="仿宋_GB2312" w:cs="仿宋_GB2312"/>
          <w:color w:val="auto"/>
          <w:spacing w:val="0"/>
          <w:kern w:val="2"/>
          <w:sz w:val="32"/>
          <w:szCs w:val="32"/>
          <w:lang w:val="en-US" w:eastAsia="zh-CN" w:bidi="ar-SA"/>
        </w:rPr>
        <w:t xml:space="preserve">市人民政府应当加强对红色遗址遗迹保护工作的组织领导，建立协调机制，研究解决保护和利用的相关问题，并予以经费保障。 </w:t>
      </w:r>
    </w:p>
    <w:p>
      <w:pPr>
        <w:pStyle w:val="13"/>
        <w:keepNext w:val="0"/>
        <w:keepLines w:val="0"/>
        <w:pageBreakBefore w:val="0"/>
        <w:widowControl/>
        <w:suppressLineNumbers w:val="0"/>
        <w:kinsoku/>
        <w:wordWrap/>
        <w:overflowPunct/>
        <w:topLinePunct w:val="0"/>
        <w:autoSpaceDE/>
        <w:autoSpaceDN/>
        <w:bidi w:val="0"/>
        <w:snapToGrid w:val="0"/>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县级人民政府是红色遗址遗迹保护管理工作的责任主体，负责红色遗址遗迹保护管理、传承利用、宣传教育等工作，加强保护工作机构建设和人员配备，并予以经费保障。</w:t>
      </w:r>
    </w:p>
    <w:p>
      <w:pPr>
        <w:pStyle w:val="13"/>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乡级人民政府应当履行属地管理职责，明确专（兼）职人员具体负责红色遗址遗迹保护管理工作；加强日常巡查，发现安全隐患或者损坏红色遗址遗迹情形的，及时采取措施，并向相关部门报告。</w:t>
      </w:r>
    </w:p>
    <w:p>
      <w:pPr>
        <w:pStyle w:val="13"/>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村（居）民委员会协助做好红色遗址遗迹保护管理工作，组织、引导村（居）民参与红色遗址遗迹的保护和宣传。</w:t>
      </w:r>
    </w:p>
    <w:p>
      <w:pPr>
        <w:pStyle w:val="13"/>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color w:val="auto"/>
          <w:spacing w:val="0"/>
          <w:kern w:val="2"/>
          <w:sz w:val="32"/>
          <w:szCs w:val="32"/>
          <w:lang w:val="en-US" w:eastAsia="zh-CN" w:bidi="ar-SA"/>
        </w:rPr>
      </w:pPr>
      <w:r>
        <w:rPr>
          <w:rFonts w:hint="eastAsia" w:ascii="黑体" w:hAnsi="黑体" w:eastAsia="黑体" w:cs="黑体"/>
          <w:color w:val="auto"/>
          <w:spacing w:val="0"/>
          <w:kern w:val="2"/>
          <w:sz w:val="32"/>
          <w:szCs w:val="32"/>
          <w:lang w:val="en-US" w:eastAsia="zh-CN" w:bidi="ar-SA"/>
        </w:rPr>
        <w:t xml:space="preserve">第五条  </w:t>
      </w:r>
      <w:r>
        <w:rPr>
          <w:rFonts w:hint="eastAsia" w:ascii="仿宋_GB2312" w:hAnsi="仿宋_GB2312" w:eastAsia="仿宋_GB2312" w:cs="仿宋_GB2312"/>
          <w:color w:val="auto"/>
          <w:spacing w:val="0"/>
          <w:kern w:val="2"/>
          <w:sz w:val="32"/>
          <w:szCs w:val="32"/>
          <w:lang w:val="en-US" w:eastAsia="zh-CN" w:bidi="ar-SA"/>
        </w:rPr>
        <w:t>文化主管部门负责指导、协调和监督红色遗址遗迹保护、管理、利用等工作。</w:t>
      </w:r>
    </w:p>
    <w:p>
      <w:pPr>
        <w:pStyle w:val="13"/>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退役军人事务主管部门负责红色遗址遗迹中烈士纪念设施的保护管理工作。</w:t>
      </w:r>
    </w:p>
    <w:p>
      <w:pPr>
        <w:pStyle w:val="13"/>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住房和城乡建设主管部门负责红色遗址遗迹中历史建筑的保护管理工作。</w:t>
      </w:r>
      <w:bookmarkStart w:id="0" w:name="_GoBack"/>
      <w:bookmarkEnd w:id="0"/>
    </w:p>
    <w:p>
      <w:pPr>
        <w:pStyle w:val="13"/>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规划、教育、应急管理、档案等主管部门和党史研究机构按照各自职责，做好红色遗址遗迹保护、管理和利用相关工作。</w:t>
      </w:r>
    </w:p>
    <w:p>
      <w:pPr>
        <w:pStyle w:val="13"/>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color w:val="auto"/>
          <w:spacing w:val="0"/>
          <w:kern w:val="2"/>
          <w:sz w:val="32"/>
          <w:szCs w:val="32"/>
          <w:lang w:val="en-US" w:eastAsia="zh-CN" w:bidi="ar-SA"/>
        </w:rPr>
      </w:pPr>
      <w:r>
        <w:rPr>
          <w:rFonts w:hint="eastAsia" w:ascii="黑体" w:hAnsi="黑体" w:eastAsia="黑体" w:cs="黑体"/>
          <w:color w:val="auto"/>
          <w:spacing w:val="0"/>
          <w:kern w:val="2"/>
          <w:sz w:val="32"/>
          <w:szCs w:val="32"/>
          <w:lang w:val="en-US" w:eastAsia="zh-CN" w:bidi="ar-SA"/>
        </w:rPr>
        <w:t xml:space="preserve">第六条  </w:t>
      </w:r>
      <w:r>
        <w:rPr>
          <w:rFonts w:hint="eastAsia" w:ascii="仿宋_GB2312" w:hAnsi="仿宋_GB2312" w:eastAsia="仿宋_GB2312" w:cs="仿宋_GB2312"/>
          <w:color w:val="auto"/>
          <w:spacing w:val="0"/>
          <w:kern w:val="2"/>
          <w:sz w:val="32"/>
          <w:szCs w:val="32"/>
          <w:lang w:val="en-US" w:eastAsia="zh-CN" w:bidi="ar-SA"/>
        </w:rPr>
        <w:t>市文化主管部门设立由文物、党史、规划、建设、旅游、档案等方面专业人才组成的咨询专家库，为红色遗址遗迹保护利用工作提供咨询、论证、评审和专业指导。</w:t>
      </w:r>
    </w:p>
    <w:p>
      <w:pPr>
        <w:pStyle w:val="13"/>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color w:val="auto"/>
          <w:spacing w:val="0"/>
          <w:kern w:val="2"/>
          <w:sz w:val="32"/>
          <w:szCs w:val="32"/>
          <w:lang w:val="en-US" w:eastAsia="zh-CN" w:bidi="ar-SA"/>
        </w:rPr>
      </w:pPr>
      <w:r>
        <w:rPr>
          <w:rFonts w:hint="eastAsia" w:ascii="黑体" w:hAnsi="黑体" w:eastAsia="黑体" w:cs="黑体"/>
          <w:color w:val="auto"/>
          <w:spacing w:val="0"/>
          <w:kern w:val="2"/>
          <w:sz w:val="32"/>
          <w:szCs w:val="32"/>
          <w:lang w:val="en-US" w:eastAsia="zh-CN" w:bidi="ar-SA"/>
        </w:rPr>
        <w:t>第七条</w:t>
      </w:r>
      <w:r>
        <w:rPr>
          <w:rFonts w:hint="eastAsia" w:ascii="仿宋_GB2312" w:hAnsi="仿宋_GB2312" w:eastAsia="仿宋_GB2312" w:cs="仿宋_GB2312"/>
          <w:color w:val="auto"/>
          <w:spacing w:val="0"/>
          <w:kern w:val="0"/>
          <w:sz w:val="32"/>
          <w:szCs w:val="32"/>
          <w:lang w:val="en-US" w:eastAsia="zh-CN" w:bidi="ar"/>
        </w:rPr>
        <w:t xml:space="preserve">  </w:t>
      </w:r>
      <w:r>
        <w:rPr>
          <w:rFonts w:hint="eastAsia" w:ascii="仿宋_GB2312" w:hAnsi="仿宋_GB2312" w:eastAsia="仿宋_GB2312" w:cs="仿宋_GB2312"/>
          <w:color w:val="auto"/>
          <w:spacing w:val="0"/>
          <w:kern w:val="2"/>
          <w:sz w:val="32"/>
          <w:szCs w:val="32"/>
          <w:lang w:val="en-US" w:eastAsia="zh-CN" w:bidi="ar-SA"/>
        </w:rPr>
        <w:t>鼓励组织和个人通过捐赠、志愿服务和技术支持等方式，参与红色遗址遗迹的保护工作。</w:t>
      </w:r>
    </w:p>
    <w:p>
      <w:pPr>
        <w:pStyle w:val="13"/>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对在红色遗址遗迹的保护工作中做出突出成绩和重要贡献的组织或者个人，市、县级人民政府按照国家和省有关规定给予表彰和奖励。</w:t>
      </w:r>
    </w:p>
    <w:p>
      <w:pPr>
        <w:pStyle w:val="9"/>
        <w:keepNext w:val="0"/>
        <w:keepLines w:val="0"/>
        <w:pageBreakBefore w:val="0"/>
        <w:widowControl/>
        <w:kinsoku/>
        <w:wordWrap/>
        <w:overflowPunct/>
        <w:topLinePunct w:val="0"/>
        <w:autoSpaceDE/>
        <w:autoSpaceDN/>
        <w:bidi w:val="0"/>
        <w:adjustRightInd w:val="0"/>
        <w:snapToGrid w:val="0"/>
        <w:spacing w:before="313" w:beforeLines="100" w:line="600" w:lineRule="exact"/>
        <w:ind w:leftChars="0"/>
        <w:jc w:val="center"/>
        <w:textAlignment w:val="auto"/>
        <w:rPr>
          <w:rFonts w:hint="eastAsia" w:ascii="黑体" w:hAnsi="黑体" w:eastAsia="黑体" w:cs="黑体"/>
          <w:color w:val="auto"/>
          <w:spacing w:val="0"/>
          <w:kern w:val="2"/>
          <w:sz w:val="32"/>
          <w:szCs w:val="32"/>
          <w:lang w:val="en-US" w:eastAsia="zh-CN" w:bidi="ar-SA"/>
        </w:rPr>
      </w:pPr>
    </w:p>
    <w:p>
      <w:pPr>
        <w:pStyle w:val="9"/>
        <w:keepNext w:val="0"/>
        <w:keepLines w:val="0"/>
        <w:pageBreakBefore w:val="0"/>
        <w:widowControl/>
        <w:kinsoku/>
        <w:wordWrap/>
        <w:overflowPunct/>
        <w:topLinePunct w:val="0"/>
        <w:autoSpaceDE/>
        <w:autoSpaceDN/>
        <w:bidi w:val="0"/>
        <w:adjustRightInd w:val="0"/>
        <w:snapToGrid w:val="0"/>
        <w:spacing w:before="313" w:beforeLines="100" w:line="600" w:lineRule="exact"/>
        <w:ind w:leftChars="0"/>
        <w:jc w:val="center"/>
        <w:textAlignment w:val="auto"/>
        <w:rPr>
          <w:rFonts w:hint="eastAsia" w:ascii="黑体" w:hAnsi="黑体" w:eastAsia="黑体" w:cs="黑体"/>
          <w:color w:val="auto"/>
          <w:spacing w:val="0"/>
          <w:kern w:val="2"/>
          <w:sz w:val="32"/>
          <w:szCs w:val="32"/>
          <w:lang w:val="en-US" w:eastAsia="zh-CN" w:bidi="ar-SA"/>
        </w:rPr>
      </w:pPr>
      <w:r>
        <w:rPr>
          <w:rFonts w:hint="eastAsia" w:ascii="黑体" w:hAnsi="黑体" w:eastAsia="黑体" w:cs="黑体"/>
          <w:color w:val="auto"/>
          <w:spacing w:val="0"/>
          <w:kern w:val="2"/>
          <w:sz w:val="32"/>
          <w:szCs w:val="32"/>
          <w:lang w:val="en-US" w:eastAsia="zh-CN" w:bidi="ar-SA"/>
        </w:rPr>
        <w:t>第二章  保护管理</w:t>
      </w:r>
    </w:p>
    <w:p>
      <w:pPr>
        <w:pStyle w:val="9"/>
        <w:keepNext w:val="0"/>
        <w:keepLines w:val="0"/>
        <w:pageBreakBefore w:val="0"/>
        <w:widowControl/>
        <w:kinsoku/>
        <w:wordWrap/>
        <w:overflowPunct/>
        <w:topLinePunct w:val="0"/>
        <w:autoSpaceDE/>
        <w:autoSpaceDN/>
        <w:bidi w:val="0"/>
        <w:adjustRightInd w:val="0"/>
        <w:snapToGrid w:val="0"/>
        <w:spacing w:line="600" w:lineRule="exact"/>
        <w:jc w:val="both"/>
        <w:textAlignment w:val="auto"/>
        <w:rPr>
          <w:rFonts w:hint="default" w:ascii="黑体" w:hAnsi="黑体" w:eastAsia="黑体" w:cs="黑体"/>
          <w:strike w:val="0"/>
          <w:dstrike/>
          <w:color w:val="auto"/>
          <w:spacing w:val="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kern w:val="2"/>
          <w:sz w:val="32"/>
          <w:szCs w:val="32"/>
          <w:lang w:val="en-US" w:eastAsia="zh-CN" w:bidi="ar-SA"/>
        </w:rPr>
      </w:pPr>
      <w:r>
        <w:rPr>
          <w:rFonts w:hint="eastAsia" w:ascii="黑体" w:hAnsi="黑体" w:eastAsia="黑体" w:cs="黑体"/>
          <w:color w:val="auto"/>
          <w:spacing w:val="0"/>
          <w:kern w:val="2"/>
          <w:sz w:val="32"/>
          <w:szCs w:val="32"/>
          <w:lang w:val="en-US" w:eastAsia="zh-CN" w:bidi="ar-SA"/>
        </w:rPr>
        <w:t>第八条</w:t>
      </w:r>
      <w:r>
        <w:rPr>
          <w:rFonts w:hint="eastAsia" w:ascii="仿宋_GB2312" w:hAnsi="仿宋_GB2312" w:eastAsia="仿宋_GB2312" w:cs="仿宋_GB2312"/>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color w:val="auto"/>
          <w:spacing w:val="0"/>
          <w:kern w:val="2"/>
          <w:sz w:val="32"/>
          <w:szCs w:val="32"/>
          <w:lang w:val="en-US" w:eastAsia="zh-CN" w:bidi="ar-SA"/>
        </w:rPr>
        <w:t>县级文化主管部门应当会同退役军人事务、住房和城乡建设等主管部门和党史研究等有关机构开展红色遗址遗迹的调查工作，及时把新发现的红色遗址遗迹纳入保护建议名单，按照规定程序认定报批。</w:t>
      </w:r>
    </w:p>
    <w:p>
      <w:pPr>
        <w:pStyle w:val="19"/>
        <w:keepNext w:val="0"/>
        <w:keepLines w:val="0"/>
        <w:pageBreakBefore w:val="0"/>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任何组织和个人发现具有保护价值的红色遗址遗迹，可以向县级文化主管部门提出保护的建议，并提供相关依据。</w:t>
      </w:r>
    </w:p>
    <w:p>
      <w:pPr>
        <w:pStyle w:val="19"/>
        <w:keepNext w:val="0"/>
        <w:keepLines w:val="0"/>
        <w:pageBreakBefore w:val="0"/>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县级文化、住房和城乡建设、退役军人事务等主管部门应当对符合条件的红色遗址遗迹，按照有关规定及时申报为相应级别的文物、烈士纪念设施、历史建筑。</w:t>
      </w:r>
    </w:p>
    <w:p>
      <w:pPr>
        <w:pStyle w:val="19"/>
        <w:keepNext w:val="0"/>
        <w:keepLines w:val="0"/>
        <w:pageBreakBefore w:val="0"/>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hAnsi="仿宋_GB2312" w:eastAsia="仿宋_GB2312" w:cs="仿宋_GB2312"/>
          <w:color w:val="auto"/>
          <w:spacing w:val="0"/>
          <w:kern w:val="2"/>
          <w:sz w:val="32"/>
          <w:szCs w:val="32"/>
          <w:lang w:val="en-US" w:eastAsia="zh-CN" w:bidi="ar-SA"/>
        </w:rPr>
      </w:pPr>
      <w:r>
        <w:rPr>
          <w:rFonts w:hint="eastAsia" w:ascii="CESI黑体-GB2312" w:hAnsi="CESI黑体-GB2312" w:eastAsia="CESI黑体-GB2312" w:cs="CESI黑体-GB2312"/>
          <w:color w:val="auto"/>
          <w:spacing w:val="0"/>
          <w:kern w:val="2"/>
          <w:sz w:val="32"/>
          <w:szCs w:val="32"/>
          <w:lang w:val="en-US" w:eastAsia="zh-CN" w:bidi="ar-SA"/>
        </w:rPr>
        <w:t xml:space="preserve">第九条 </w:t>
      </w:r>
      <w:r>
        <w:rPr>
          <w:rFonts w:hint="eastAsia" w:ascii="仿宋_GB2312" w:hAnsi="仿宋_GB2312" w:eastAsia="仿宋_GB2312" w:cs="仿宋_GB2312"/>
          <w:color w:val="auto"/>
          <w:spacing w:val="0"/>
          <w:kern w:val="2"/>
          <w:sz w:val="32"/>
          <w:szCs w:val="32"/>
          <w:lang w:val="en-US" w:eastAsia="zh-CN" w:bidi="ar-SA"/>
        </w:rPr>
        <w:t xml:space="preserve"> 市文化主管部门负责编制红色遗址遗迹保护名录，并向社会公布。保护名录包括名称、地址、类别等内容。</w:t>
      </w:r>
    </w:p>
    <w:p>
      <w:pPr>
        <w:pStyle w:val="19"/>
        <w:keepNext w:val="0"/>
        <w:keepLines w:val="0"/>
        <w:pageBreakBefore w:val="0"/>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市文化主管部门应当对列入保护名录的红色遗址遗迹建立档案、电子数据库，载明红色遗址遗迹的名称、地址、类型、权属、历史价值、保护范围及建设控制地带等内容。</w:t>
      </w:r>
    </w:p>
    <w:p>
      <w:pPr>
        <w:pStyle w:val="13"/>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600" w:lineRule="exact"/>
        <w:ind w:right="0" w:firstLine="640" w:firstLineChars="200"/>
        <w:jc w:val="both"/>
        <w:textAlignment w:val="auto"/>
        <w:rPr>
          <w:rFonts w:hint="eastAsia" w:hAnsi="仿宋_GB2312" w:cs="仿宋_GB2312"/>
          <w:color w:val="auto"/>
          <w:spacing w:val="0"/>
          <w:kern w:val="2"/>
          <w:sz w:val="32"/>
          <w:szCs w:val="32"/>
          <w:lang w:val="en-US" w:eastAsia="zh-CN" w:bidi="ar-SA"/>
        </w:rPr>
      </w:pPr>
      <w:r>
        <w:rPr>
          <w:rFonts w:hint="eastAsia" w:ascii="黑体" w:hAnsi="黑体" w:eastAsia="黑体" w:cs="黑体"/>
          <w:color w:val="auto"/>
          <w:spacing w:val="0"/>
          <w:kern w:val="2"/>
          <w:sz w:val="32"/>
          <w:szCs w:val="32"/>
          <w:lang w:val="en-US" w:eastAsia="zh-CN" w:bidi="ar-SA"/>
        </w:rPr>
        <w:t xml:space="preserve">第十条  </w:t>
      </w:r>
      <w:r>
        <w:rPr>
          <w:rFonts w:hint="eastAsia" w:hAnsi="仿宋_GB2312" w:cs="仿宋_GB2312"/>
          <w:color w:val="auto"/>
          <w:spacing w:val="0"/>
          <w:kern w:val="2"/>
          <w:sz w:val="32"/>
          <w:szCs w:val="32"/>
          <w:lang w:val="en-US" w:eastAsia="zh-CN" w:bidi="ar-SA"/>
        </w:rPr>
        <w:t>县级文化主管部门应当对列入保护名录的红色遗址遗迹设置含有数字信息的保护标志。保护标志内容应当包括红色遗址遗迹名称、四至界限、史实说明、认定机关、认定日期、保护责任人、安全巡查员等。</w:t>
      </w:r>
    </w:p>
    <w:p>
      <w:pPr>
        <w:pStyle w:val="13"/>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600" w:lineRule="exact"/>
        <w:ind w:right="0" w:firstLine="640" w:firstLineChars="200"/>
        <w:jc w:val="both"/>
        <w:textAlignment w:val="auto"/>
        <w:rPr>
          <w:rFonts w:hint="eastAsia" w:hAnsi="仿宋_GB2312" w:cs="仿宋_GB2312"/>
          <w:color w:val="auto"/>
          <w:spacing w:val="0"/>
          <w:kern w:val="2"/>
          <w:sz w:val="32"/>
          <w:szCs w:val="32"/>
          <w:lang w:val="en-US" w:eastAsia="zh-CN" w:bidi="ar-SA"/>
        </w:rPr>
      </w:pPr>
      <w:r>
        <w:rPr>
          <w:rFonts w:hint="eastAsia" w:hAnsi="仿宋_GB2312" w:cs="仿宋_GB2312"/>
          <w:color w:val="auto"/>
          <w:spacing w:val="0"/>
          <w:kern w:val="2"/>
          <w:sz w:val="32"/>
          <w:szCs w:val="32"/>
          <w:lang w:val="en-US" w:eastAsia="zh-CN" w:bidi="ar-SA"/>
        </w:rPr>
        <w:t>保护标志样式由市文化主管部门统一制定。</w:t>
      </w:r>
    </w:p>
    <w:p>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color w:val="auto"/>
          <w:spacing w:val="0"/>
          <w:kern w:val="2"/>
          <w:sz w:val="32"/>
          <w:szCs w:val="32"/>
          <w:lang w:val="en-US" w:eastAsia="zh-CN" w:bidi="ar-SA"/>
        </w:rPr>
      </w:pPr>
      <w:r>
        <w:rPr>
          <w:rFonts w:hint="eastAsia" w:ascii="黑体" w:hAnsi="黑体" w:eastAsia="黑体" w:cs="黑体"/>
          <w:color w:val="auto"/>
          <w:spacing w:val="0"/>
          <w:kern w:val="2"/>
          <w:sz w:val="32"/>
          <w:szCs w:val="32"/>
          <w:lang w:val="en-US" w:eastAsia="zh-CN" w:bidi="ar-SA"/>
        </w:rPr>
        <w:t xml:space="preserve">第十一条  </w:t>
      </w:r>
      <w:r>
        <w:rPr>
          <w:rFonts w:hint="eastAsia" w:ascii="仿宋_GB2312" w:hAnsi="仿宋_GB2312" w:eastAsia="仿宋_GB2312" w:cs="仿宋_GB2312"/>
          <w:color w:val="auto"/>
          <w:spacing w:val="0"/>
          <w:kern w:val="2"/>
          <w:sz w:val="32"/>
          <w:szCs w:val="32"/>
          <w:lang w:val="en-US" w:eastAsia="zh-CN" w:bidi="ar-SA"/>
        </w:rPr>
        <w:t>红色遗址遗迹按照类型和形态特点实施保护：</w:t>
      </w:r>
    </w:p>
    <w:p>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（一）重要机构、重要会议旧址，英雄烈士和重要人物故居、旧居，红军驻地房屋，应当加强原有格局、形制、外观的保护，以及附属建筑、庭院、屋场等历史空间和生活设施等的保护；</w:t>
      </w:r>
    </w:p>
    <w:p>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（二）重要事件和重大战斗等发生地，应当加强本体及其附属设施、环境、景观特征的保护；</w:t>
      </w:r>
    </w:p>
    <w:p>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（三）烈士墓地、烈士陵园、纪念塑像、纪念碑（塔）等纪念设施，应当加强原有墓碑、石雕、石刻的保护；</w:t>
      </w:r>
    </w:p>
    <w:p>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（四）反映红军活动的标语、文献资料，应当根据存在形式、不同材质及制作方法开展专项保护。</w:t>
      </w:r>
    </w:p>
    <w:p>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color w:val="auto"/>
          <w:spacing w:val="0"/>
          <w:kern w:val="2"/>
          <w:sz w:val="32"/>
          <w:szCs w:val="32"/>
          <w:lang w:val="en-US" w:eastAsia="zh-CN" w:bidi="ar-SA"/>
        </w:rPr>
      </w:pPr>
      <w:r>
        <w:rPr>
          <w:rFonts w:hint="eastAsia" w:ascii="黑体" w:hAnsi="黑体" w:eastAsia="黑体" w:cs="黑体"/>
          <w:color w:val="auto"/>
          <w:spacing w:val="0"/>
          <w:kern w:val="2"/>
          <w:sz w:val="32"/>
          <w:szCs w:val="32"/>
          <w:lang w:val="en-US" w:eastAsia="zh-CN" w:bidi="ar-SA"/>
        </w:rPr>
        <w:t xml:space="preserve">第十二条  </w:t>
      </w:r>
      <w:r>
        <w:rPr>
          <w:rFonts w:hint="eastAsia" w:ascii="仿宋_GB2312" w:hAnsi="仿宋_GB2312" w:eastAsia="仿宋_GB2312" w:cs="仿宋_GB2312"/>
          <w:color w:val="auto"/>
          <w:spacing w:val="0"/>
          <w:kern w:val="2"/>
          <w:sz w:val="32"/>
          <w:szCs w:val="32"/>
          <w:lang w:val="en-US" w:eastAsia="zh-CN" w:bidi="ar-SA"/>
        </w:rPr>
        <w:t>县级文化主管部门应当会同规划、退役军人事务、住房和城乡建设等主管部门及乡级人民政府根据红色遗址遗迹保护需要和现状，划定必要的保护范围和建设控制地带，报县级人民政府批准后予以公布。</w:t>
      </w:r>
    </w:p>
    <w:p>
      <w:pPr>
        <w:pStyle w:val="12"/>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红色遗址遗迹应当实行原址保护。建设项目选址应当避让红色遗址遗迹保护范围和建设控制地带，确因公共利益需要进行建设不能避让的，应当依法办理相关审批手续。</w:t>
      </w:r>
    </w:p>
    <w:p>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重要事件和重大战斗等发生地，不得迁移。</w:t>
      </w:r>
    </w:p>
    <w:p>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color w:val="auto"/>
          <w:spacing w:val="0"/>
          <w:kern w:val="2"/>
          <w:sz w:val="32"/>
          <w:szCs w:val="32"/>
          <w:lang w:val="en-US" w:eastAsia="zh-CN" w:bidi="ar-SA"/>
        </w:rPr>
      </w:pPr>
      <w:r>
        <w:rPr>
          <w:rFonts w:hint="eastAsia" w:ascii="黑体" w:hAnsi="黑体" w:eastAsia="黑体" w:cs="黑体"/>
          <w:b w:val="0"/>
          <w:bCs w:val="0"/>
          <w:spacing w:val="0"/>
          <w:kern w:val="21"/>
          <w:sz w:val="32"/>
          <w:szCs w:val="32"/>
          <w:shd w:val="clear" w:color="auto" w:fill="FFFFFF"/>
          <w:lang w:eastAsia="zh-CN"/>
        </w:rPr>
        <w:t>第十三条</w:t>
      </w:r>
      <w:r>
        <w:rPr>
          <w:rFonts w:hint="default" w:ascii="Times New Roman" w:hAnsi="Times New Roman" w:eastAsia="仿宋_GB2312" w:cs="Times New Roman"/>
          <w:b w:val="0"/>
          <w:bCs w:val="0"/>
          <w:spacing w:val="0"/>
          <w:kern w:val="21"/>
          <w:sz w:val="32"/>
          <w:szCs w:val="32"/>
          <w:shd w:val="clear" w:color="auto" w:fill="FFFFFF"/>
          <w:lang w:eastAsia="zh-CN"/>
        </w:rPr>
        <w:t xml:space="preserve"> </w:t>
      </w:r>
      <w:r>
        <w:rPr>
          <w:rFonts w:hint="eastAsia" w:ascii="黑体" w:hAnsi="黑体" w:eastAsia="黑体" w:cs="黑体"/>
          <w:b w:val="0"/>
          <w:bCs w:val="0"/>
          <w:spacing w:val="0"/>
          <w:kern w:val="21"/>
          <w:sz w:val="32"/>
          <w:szCs w:val="32"/>
          <w:shd w:val="clear" w:color="auto" w:fill="FFFFFF"/>
          <w:lang w:val="en-US" w:eastAsia="zh-CN"/>
        </w:rPr>
        <w:t xml:space="preserve"> </w:t>
      </w:r>
      <w:r>
        <w:rPr>
          <w:rFonts w:hint="eastAsia" w:ascii="仿宋_GB2312" w:hAnsi="仿宋_GB2312" w:eastAsia="仿宋_GB2312" w:cs="仿宋_GB2312"/>
          <w:color w:val="auto"/>
          <w:spacing w:val="0"/>
          <w:kern w:val="2"/>
          <w:sz w:val="32"/>
          <w:szCs w:val="32"/>
          <w:lang w:val="en-US" w:eastAsia="zh-CN" w:bidi="ar-SA"/>
        </w:rPr>
        <w:t>列入保护名录的红色遗址遗迹按照下列方式确定保护责任人：</w:t>
      </w:r>
    </w:p>
    <w:p>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（一）国家所有的，其使用人或者管理人为保护责任人；</w:t>
      </w:r>
    </w:p>
    <w:p>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（二）集体所有的，该集体组织负责人为保护责任人；</w:t>
      </w:r>
    </w:p>
    <w:p>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（三）个人所有的，其所有人和使用人为保护责任人。</w:t>
      </w:r>
    </w:p>
    <w:p>
      <w:pPr>
        <w:pStyle w:val="1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乡级人民政府应当与辖区内红色遗址遗迹的保护责任人签订保护责任书，明确其保护责任。</w:t>
      </w:r>
    </w:p>
    <w:p>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因保护红色遗址遗迹导致所有人、使用人、管理人权益受损的，应当依法给予相应补偿。</w:t>
      </w:r>
    </w:p>
    <w:p>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color w:val="auto"/>
          <w:spacing w:val="0"/>
          <w:kern w:val="2"/>
          <w:sz w:val="32"/>
          <w:szCs w:val="32"/>
          <w:lang w:val="en-US" w:eastAsia="zh-CN" w:bidi="ar-SA"/>
        </w:rPr>
      </w:pPr>
      <w:r>
        <w:rPr>
          <w:rFonts w:hint="eastAsia" w:ascii="黑体" w:hAnsi="黑体" w:eastAsia="黑体" w:cs="黑体"/>
          <w:color w:val="auto"/>
          <w:spacing w:val="0"/>
          <w:kern w:val="2"/>
          <w:sz w:val="32"/>
          <w:szCs w:val="32"/>
          <w:lang w:val="en-US" w:eastAsia="zh-CN" w:bidi="ar-SA"/>
        </w:rPr>
        <w:t xml:space="preserve">第十四条  </w:t>
      </w:r>
      <w:r>
        <w:rPr>
          <w:rFonts w:hint="eastAsia" w:ascii="仿宋_GB2312" w:hAnsi="仿宋_GB2312" w:eastAsia="仿宋_GB2312" w:cs="仿宋_GB2312"/>
          <w:color w:val="auto"/>
          <w:spacing w:val="0"/>
          <w:kern w:val="2"/>
          <w:sz w:val="32"/>
          <w:szCs w:val="32"/>
          <w:lang w:val="en-US" w:eastAsia="zh-CN" w:bidi="ar-SA"/>
        </w:rPr>
        <w:t>保护责任人应当做好日常维护和安全防护，发现问题和隐患及时向所在地乡级人民政府报告。</w:t>
      </w:r>
    </w:p>
    <w:p>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县级文化、住房和城乡建设、退役军人事务等主管部门应当为保护责任人提供技术指导、安全培训，提高保护责任人的保护管理能力。</w:t>
      </w:r>
    </w:p>
    <w:p>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县级人民政府应当对集体或者个人所有的红色遗址遗迹日常维护费用给予适当补助。具体补助标准由市人民政府制定。</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color w:val="auto"/>
          <w:spacing w:val="0"/>
          <w:kern w:val="2"/>
          <w:sz w:val="32"/>
          <w:szCs w:val="32"/>
          <w:lang w:val="en-US" w:eastAsia="zh-CN" w:bidi="ar-SA"/>
        </w:rPr>
      </w:pPr>
      <w:r>
        <w:rPr>
          <w:rFonts w:hint="eastAsia" w:ascii="黑体" w:hAnsi="黑体" w:eastAsia="黑体" w:cs="黑体"/>
          <w:color w:val="000000"/>
          <w:spacing w:val="0"/>
          <w:w w:val="100"/>
          <w:sz w:val="32"/>
          <w:szCs w:val="32"/>
          <w:lang w:val="en-US" w:eastAsia="zh-CN"/>
        </w:rPr>
        <w:t xml:space="preserve">第十五条 </w:t>
      </w:r>
      <w:r>
        <w:rPr>
          <w:rFonts w:hint="eastAsia" w:ascii="仿宋_GB2312" w:hAnsi="仿宋_GB2312" w:eastAsia="仿宋_GB2312" w:cs="仿宋_GB2312"/>
          <w:color w:val="auto"/>
          <w:spacing w:val="0"/>
          <w:kern w:val="2"/>
          <w:sz w:val="32"/>
          <w:szCs w:val="32"/>
          <w:lang w:val="en-US" w:eastAsia="zh-CN" w:bidi="ar-SA"/>
        </w:rPr>
        <w:t xml:space="preserve"> 国有的红色遗址遗迹存在坍塌、损毁、灭失等重大风险的，县级人民政府应当及时组织开展抢救性保护和修复。</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非国有的红色遗址遗迹有损毁危险，保护责任人不具备修缮能力的，县级人民政府应当给予资助或者通过产权置换、购买等方式予以保护。</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color w:val="auto"/>
          <w:spacing w:val="0"/>
          <w:kern w:val="2"/>
          <w:sz w:val="32"/>
          <w:szCs w:val="32"/>
          <w:lang w:val="en-US" w:eastAsia="zh-CN" w:bidi="ar-SA"/>
        </w:rPr>
      </w:pPr>
      <w:r>
        <w:rPr>
          <w:rFonts w:hint="eastAsia" w:ascii="黑体" w:hAnsi="黑体" w:eastAsia="黑体" w:cs="黑体"/>
          <w:color w:val="000000"/>
          <w:spacing w:val="0"/>
          <w:w w:val="100"/>
          <w:sz w:val="32"/>
          <w:szCs w:val="32"/>
          <w:lang w:val="en-US" w:eastAsia="zh-CN"/>
        </w:rPr>
        <w:t xml:space="preserve">第十六条 </w:t>
      </w:r>
      <w:r>
        <w:rPr>
          <w:rFonts w:hint="eastAsia" w:ascii="仿宋_GB2312" w:hAnsi="仿宋_GB2312" w:eastAsia="仿宋_GB2312" w:cs="仿宋_GB2312"/>
          <w:color w:val="000000"/>
          <w:spacing w:val="0"/>
          <w:w w:val="100"/>
          <w:sz w:val="32"/>
          <w:szCs w:val="32"/>
          <w:lang w:val="en-US" w:eastAsia="zh-CN"/>
        </w:rPr>
        <w:t xml:space="preserve"> </w:t>
      </w:r>
      <w:r>
        <w:rPr>
          <w:rFonts w:hint="eastAsia" w:ascii="仿宋_GB2312" w:hAnsi="仿宋_GB2312" w:eastAsia="仿宋_GB2312" w:cs="仿宋_GB2312"/>
          <w:color w:val="auto"/>
          <w:spacing w:val="0"/>
          <w:kern w:val="2"/>
          <w:sz w:val="32"/>
          <w:szCs w:val="32"/>
          <w:lang w:val="en-US" w:eastAsia="zh-CN" w:bidi="ar-SA"/>
        </w:rPr>
        <w:t>红色遗址遗迹修缮、修复应当制定方案，并依法办理相关审批手续。</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不可移动红色遗址遗迹的修缮遵循不改变原状、最小干预的原则，不得损毁、改变其主体结构及其附属设施，不得破坏其完整性和历史风貌。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napToGrid w:val="0"/>
        <w:spacing w:before="0" w:beforeAutospacing="0" w:afterAutospacing="0" w:line="600" w:lineRule="exact"/>
        <w:ind w:leftChars="0" w:right="0" w:firstLine="640" w:firstLineChars="200"/>
        <w:jc w:val="both"/>
        <w:textAlignment w:val="auto"/>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可移动红色遗迹的修复，应当符合相关技术规范要求。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napToGrid w:val="0"/>
        <w:spacing w:before="0" w:beforeAutospacing="0" w:afterAutospacing="0" w:line="600" w:lineRule="exact"/>
        <w:ind w:leftChars="0" w:right="0" w:firstLine="640" w:firstLineChars="200"/>
        <w:jc w:val="both"/>
        <w:textAlignment w:val="auto"/>
        <w:rPr>
          <w:rFonts w:hint="eastAsia" w:ascii="仿宋_GB2312" w:hAnsi="仿宋_GB2312" w:eastAsia="仿宋_GB2312" w:cs="仿宋_GB2312"/>
          <w:color w:val="auto"/>
          <w:spacing w:val="0"/>
          <w:kern w:val="2"/>
          <w:sz w:val="32"/>
          <w:szCs w:val="32"/>
          <w:lang w:val="en-US" w:eastAsia="zh-CN" w:bidi="ar-SA"/>
        </w:rPr>
      </w:pPr>
      <w:r>
        <w:rPr>
          <w:rFonts w:hint="eastAsia" w:ascii="黑体" w:hAnsi="黑体" w:eastAsia="黑体" w:cs="黑体"/>
          <w:color w:val="auto"/>
          <w:spacing w:val="0"/>
          <w:kern w:val="2"/>
          <w:sz w:val="32"/>
          <w:szCs w:val="32"/>
          <w:lang w:val="en-US" w:eastAsia="zh-CN" w:bidi="ar-SA"/>
        </w:rPr>
        <w:t xml:space="preserve">第十七条  </w:t>
      </w:r>
      <w:r>
        <w:rPr>
          <w:rFonts w:hint="eastAsia" w:ascii="仿宋_GB2312" w:hAnsi="仿宋_GB2312" w:eastAsia="仿宋_GB2312" w:cs="仿宋_GB2312"/>
          <w:color w:val="auto"/>
          <w:spacing w:val="0"/>
          <w:kern w:val="2"/>
          <w:sz w:val="32"/>
          <w:szCs w:val="32"/>
          <w:lang w:val="en-US" w:eastAsia="zh-CN" w:bidi="ar-SA"/>
        </w:rPr>
        <w:t>在红色遗址遗迹建设控制地带内禁止下列行为：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napToGrid w:val="0"/>
        <w:spacing w:before="0" w:beforeAutospacing="0" w:afterAutospacing="0" w:line="600" w:lineRule="exact"/>
        <w:ind w:leftChars="0" w:right="0" w:firstLine="640" w:firstLineChars="200"/>
        <w:jc w:val="both"/>
        <w:textAlignment w:val="auto"/>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（一）擅自建设与红色遗址遗迹保护无关的建（构）筑物；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napToGrid w:val="0"/>
        <w:spacing w:before="0" w:beforeAutospacing="0" w:afterAutospacing="0" w:line="600" w:lineRule="exact"/>
        <w:ind w:leftChars="0" w:right="0" w:firstLine="640" w:firstLineChars="200"/>
        <w:jc w:val="both"/>
        <w:textAlignment w:val="auto"/>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（二）取土、采石、采砂、开矿；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napToGrid w:val="0"/>
        <w:spacing w:before="0" w:beforeAutospacing="0" w:afterAutospacing="0" w:line="600" w:lineRule="exact"/>
        <w:ind w:leftChars="0" w:right="0" w:firstLine="640" w:firstLineChars="200"/>
        <w:jc w:val="both"/>
        <w:textAlignment w:val="auto"/>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（三）生产、储存、使用易燃、易爆、易腐蚀等物品。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napToGrid w:val="0"/>
        <w:spacing w:before="0" w:beforeAutospacing="0" w:afterAutospacing="0" w:line="600" w:lineRule="exact"/>
        <w:ind w:leftChars="0" w:right="0" w:firstLine="640" w:firstLineChars="200"/>
        <w:jc w:val="both"/>
        <w:textAlignment w:val="auto"/>
        <w:rPr>
          <w:rFonts w:hint="eastAsia" w:ascii="仿宋_GB2312" w:hAnsi="仿宋_GB2312" w:eastAsia="仿宋_GB2312" w:cs="仿宋_GB2312"/>
          <w:color w:val="auto"/>
          <w:spacing w:val="0"/>
          <w:kern w:val="2"/>
          <w:sz w:val="32"/>
          <w:szCs w:val="32"/>
          <w:lang w:val="en-US" w:eastAsia="zh-CN" w:bidi="ar-SA"/>
        </w:rPr>
      </w:pPr>
      <w:r>
        <w:rPr>
          <w:rFonts w:hint="eastAsia" w:ascii="黑体" w:hAnsi="黑体" w:eastAsia="黑体" w:cs="黑体"/>
          <w:color w:val="auto"/>
          <w:spacing w:val="0"/>
          <w:kern w:val="2"/>
          <w:sz w:val="32"/>
          <w:szCs w:val="32"/>
          <w:lang w:val="en-US" w:eastAsia="zh-CN" w:bidi="ar-SA"/>
        </w:rPr>
        <w:t xml:space="preserve">第十八条  </w:t>
      </w:r>
      <w:r>
        <w:rPr>
          <w:rFonts w:hint="eastAsia" w:ascii="仿宋_GB2312" w:hAnsi="仿宋_GB2312" w:eastAsia="仿宋_GB2312" w:cs="仿宋_GB2312"/>
          <w:color w:val="auto"/>
          <w:spacing w:val="0"/>
          <w:kern w:val="2"/>
          <w:sz w:val="32"/>
          <w:szCs w:val="32"/>
          <w:lang w:val="en-US" w:eastAsia="zh-CN" w:bidi="ar-SA"/>
        </w:rPr>
        <w:t>在红色遗址遗迹保护范围内，除适用</w:t>
      </w:r>
      <w:r>
        <w:rPr>
          <w:rFonts w:hint="eastAsia" w:hAnsi="仿宋_GB2312" w:cs="仿宋_GB2312"/>
          <w:color w:val="auto"/>
          <w:spacing w:val="0"/>
          <w:kern w:val="2"/>
          <w:sz w:val="32"/>
          <w:szCs w:val="32"/>
          <w:lang w:val="en-US" w:eastAsia="zh-CN" w:bidi="ar-SA"/>
        </w:rPr>
        <w:t>本条例第十七条</w:t>
      </w:r>
      <w:r>
        <w:rPr>
          <w:rFonts w:hint="eastAsia" w:ascii="仿宋_GB2312" w:hAnsi="仿宋_GB2312" w:eastAsia="仿宋_GB2312" w:cs="仿宋_GB2312"/>
          <w:color w:val="auto"/>
          <w:spacing w:val="0"/>
          <w:kern w:val="2"/>
          <w:sz w:val="32"/>
          <w:szCs w:val="32"/>
          <w:lang w:val="en-US" w:eastAsia="zh-CN" w:bidi="ar-SA"/>
        </w:rPr>
        <w:t>规定</w:t>
      </w:r>
      <w:r>
        <w:rPr>
          <w:rFonts w:hint="eastAsia" w:hAnsi="仿宋_GB2312" w:cs="仿宋_GB2312"/>
          <w:color w:val="auto"/>
          <w:spacing w:val="0"/>
          <w:kern w:val="2"/>
          <w:sz w:val="32"/>
          <w:szCs w:val="32"/>
          <w:lang w:val="en-US" w:eastAsia="zh-CN" w:bidi="ar-SA"/>
        </w:rPr>
        <w:t>以</w:t>
      </w:r>
      <w:r>
        <w:rPr>
          <w:rFonts w:hint="eastAsia" w:ascii="仿宋_GB2312" w:hAnsi="仿宋_GB2312" w:eastAsia="仿宋_GB2312" w:cs="仿宋_GB2312"/>
          <w:color w:val="auto"/>
          <w:spacing w:val="0"/>
          <w:kern w:val="2"/>
          <w:sz w:val="32"/>
          <w:szCs w:val="32"/>
          <w:lang w:val="en-US" w:eastAsia="zh-CN" w:bidi="ar-SA"/>
        </w:rPr>
        <w:t>外，还禁止下列行为：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napToGrid w:val="0"/>
        <w:spacing w:before="0" w:beforeAutospacing="0" w:afterAutospacing="0" w:line="600" w:lineRule="exact"/>
        <w:ind w:leftChars="0" w:right="0" w:firstLine="640" w:firstLineChars="200"/>
        <w:jc w:val="both"/>
        <w:textAlignment w:val="auto"/>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（一）擅自改建、迁移、拆除红色遗址遗迹；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napToGrid w:val="0"/>
        <w:spacing w:before="0" w:beforeAutospacing="0" w:afterAutospacing="0" w:line="600" w:lineRule="exact"/>
        <w:ind w:leftChars="0" w:right="0" w:firstLine="640" w:firstLineChars="200"/>
        <w:jc w:val="both"/>
        <w:textAlignment w:val="auto"/>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（二）在红色遗址遗迹本体及其附属设施上刻划、涂污或者张贴广告；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napToGrid w:val="0"/>
        <w:spacing w:before="0" w:beforeAutospacing="0" w:afterAutospacing="0" w:line="600" w:lineRule="exact"/>
        <w:ind w:leftChars="0" w:right="0" w:firstLine="640" w:firstLineChars="200"/>
        <w:jc w:val="both"/>
        <w:textAlignment w:val="auto"/>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（三）损坏或者擅自移动、拆除红色遗址遗迹保护标志、保护设施；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napToGrid w:val="0"/>
        <w:spacing w:before="0" w:beforeAutospacing="0" w:afterAutospacing="0" w:line="600" w:lineRule="exact"/>
        <w:ind w:leftChars="0" w:right="0" w:firstLine="640" w:firstLineChars="200"/>
        <w:jc w:val="both"/>
        <w:textAlignment w:val="auto"/>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（四）在红色场馆、文物保护单位内使用明火、燃放烟花爆竹；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napToGrid w:val="0"/>
        <w:spacing w:before="0" w:beforeAutospacing="0" w:afterAutospacing="0" w:line="600" w:lineRule="exact"/>
        <w:ind w:leftChars="0" w:right="0" w:firstLine="640" w:firstLineChars="200"/>
        <w:jc w:val="both"/>
        <w:textAlignment w:val="auto"/>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（五）随意堆放与保护利用无关的物品；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napToGrid w:val="0"/>
        <w:spacing w:before="0" w:beforeAutospacing="0" w:afterAutospacing="0" w:line="600" w:lineRule="exact"/>
        <w:ind w:leftChars="0" w:right="0" w:firstLine="640" w:firstLineChars="200"/>
        <w:jc w:val="both"/>
        <w:textAlignment w:val="auto"/>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（六）其他损坏或者损毁红色遗址遗迹的行为。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napToGrid w:val="0"/>
        <w:spacing w:before="0" w:beforeAutospacing="0" w:afterAutospacing="0" w:line="600" w:lineRule="exact"/>
        <w:ind w:leftChars="0" w:right="0" w:firstLine="640" w:firstLineChars="200"/>
        <w:jc w:val="both"/>
        <w:textAlignment w:val="auto"/>
        <w:rPr>
          <w:rFonts w:hint="eastAsia" w:ascii="仿宋_GB2312" w:hAnsi="仿宋_GB2312" w:eastAsia="仿宋_GB2312" w:cs="仿宋_GB2312"/>
          <w:color w:val="auto"/>
          <w:spacing w:val="0"/>
          <w:kern w:val="2"/>
          <w:sz w:val="32"/>
          <w:szCs w:val="32"/>
          <w:lang w:val="en-US" w:eastAsia="zh-CN" w:bidi="ar-SA"/>
        </w:rPr>
      </w:pPr>
    </w:p>
    <w:p>
      <w:pPr>
        <w:pStyle w:val="9"/>
        <w:keepNext w:val="0"/>
        <w:keepLines w:val="0"/>
        <w:pageBreakBefore w:val="0"/>
        <w:widowControl/>
        <w:kinsoku/>
        <w:wordWrap/>
        <w:overflowPunct/>
        <w:topLinePunct w:val="0"/>
        <w:autoSpaceDE/>
        <w:autoSpaceDN/>
        <w:bidi w:val="0"/>
        <w:adjustRightInd w:val="0"/>
        <w:snapToGrid w:val="0"/>
        <w:spacing w:line="600" w:lineRule="exact"/>
        <w:ind w:leftChars="0"/>
        <w:jc w:val="center"/>
        <w:textAlignment w:val="auto"/>
        <w:rPr>
          <w:rFonts w:hint="eastAsia" w:ascii="黑体" w:hAnsi="黑体" w:eastAsia="黑体" w:cs="黑体"/>
          <w:color w:val="auto"/>
          <w:spacing w:val="0"/>
          <w:kern w:val="2"/>
          <w:sz w:val="32"/>
          <w:szCs w:val="32"/>
          <w:lang w:val="en-US" w:eastAsia="zh-CN" w:bidi="ar-SA"/>
        </w:rPr>
      </w:pPr>
    </w:p>
    <w:p>
      <w:pPr>
        <w:pStyle w:val="9"/>
        <w:keepNext w:val="0"/>
        <w:keepLines w:val="0"/>
        <w:pageBreakBefore w:val="0"/>
        <w:widowControl/>
        <w:kinsoku/>
        <w:wordWrap/>
        <w:overflowPunct/>
        <w:topLinePunct w:val="0"/>
        <w:autoSpaceDE/>
        <w:autoSpaceDN/>
        <w:bidi w:val="0"/>
        <w:adjustRightInd w:val="0"/>
        <w:snapToGrid w:val="0"/>
        <w:spacing w:line="600" w:lineRule="exact"/>
        <w:ind w:leftChars="0"/>
        <w:jc w:val="center"/>
        <w:textAlignment w:val="auto"/>
        <w:rPr>
          <w:rFonts w:hint="eastAsia" w:ascii="黑体" w:hAnsi="黑体" w:eastAsia="黑体" w:cs="黑体"/>
          <w:color w:val="auto"/>
          <w:spacing w:val="0"/>
          <w:kern w:val="2"/>
          <w:sz w:val="32"/>
          <w:szCs w:val="32"/>
          <w:lang w:val="en-US" w:eastAsia="zh-CN" w:bidi="ar-SA"/>
        </w:rPr>
      </w:pPr>
    </w:p>
    <w:p>
      <w:pPr>
        <w:pStyle w:val="9"/>
        <w:keepNext w:val="0"/>
        <w:keepLines w:val="0"/>
        <w:pageBreakBefore w:val="0"/>
        <w:widowControl/>
        <w:kinsoku/>
        <w:wordWrap/>
        <w:overflowPunct/>
        <w:topLinePunct w:val="0"/>
        <w:autoSpaceDE/>
        <w:autoSpaceDN/>
        <w:bidi w:val="0"/>
        <w:adjustRightInd w:val="0"/>
        <w:snapToGrid w:val="0"/>
        <w:spacing w:line="600" w:lineRule="exact"/>
        <w:ind w:leftChars="0"/>
        <w:jc w:val="center"/>
        <w:textAlignment w:val="auto"/>
        <w:rPr>
          <w:rFonts w:hint="eastAsia" w:ascii="黑体" w:hAnsi="黑体" w:eastAsia="黑体" w:cs="黑体"/>
          <w:color w:val="auto"/>
          <w:spacing w:val="0"/>
          <w:kern w:val="2"/>
          <w:sz w:val="32"/>
          <w:szCs w:val="32"/>
          <w:lang w:val="en-US" w:eastAsia="zh-CN" w:bidi="ar-SA"/>
        </w:rPr>
      </w:pPr>
      <w:r>
        <w:rPr>
          <w:rFonts w:hint="eastAsia" w:ascii="黑体" w:hAnsi="黑体" w:eastAsia="黑体" w:cs="黑体"/>
          <w:color w:val="auto"/>
          <w:spacing w:val="0"/>
          <w:kern w:val="2"/>
          <w:sz w:val="32"/>
          <w:szCs w:val="32"/>
          <w:lang w:val="en-US" w:eastAsia="zh-CN" w:bidi="ar-SA"/>
        </w:rPr>
        <w:t>第三章  传承利用</w:t>
      </w:r>
    </w:p>
    <w:p>
      <w:pPr>
        <w:pStyle w:val="13"/>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600" w:lineRule="exact"/>
        <w:ind w:right="0" w:rightChars="0"/>
        <w:jc w:val="both"/>
        <w:textAlignment w:val="auto"/>
        <w:rPr>
          <w:rFonts w:hint="eastAsia" w:ascii="黑体" w:hAnsi="黑体" w:eastAsia="黑体" w:cs="黑体"/>
          <w:color w:val="auto"/>
          <w:spacing w:val="0"/>
          <w:kern w:val="2"/>
          <w:sz w:val="32"/>
          <w:szCs w:val="32"/>
          <w:lang w:val="en-US" w:eastAsia="zh-CN" w:bidi="ar-SA"/>
        </w:rPr>
      </w:pPr>
    </w:p>
    <w:p>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color w:val="auto"/>
          <w:spacing w:val="0"/>
          <w:kern w:val="2"/>
          <w:sz w:val="32"/>
          <w:szCs w:val="32"/>
          <w:lang w:val="en-US" w:eastAsia="zh-CN" w:bidi="ar-SA"/>
        </w:rPr>
      </w:pPr>
      <w:r>
        <w:rPr>
          <w:rFonts w:hint="eastAsia" w:ascii="黑体" w:hAnsi="黑体" w:eastAsia="黑体" w:cs="黑体"/>
          <w:color w:val="auto"/>
          <w:spacing w:val="0"/>
          <w:kern w:val="2"/>
          <w:sz w:val="32"/>
          <w:szCs w:val="32"/>
          <w:lang w:val="en-US" w:eastAsia="zh-CN" w:bidi="ar-SA"/>
        </w:rPr>
        <w:t xml:space="preserve">第十九条  </w:t>
      </w:r>
      <w:r>
        <w:rPr>
          <w:rFonts w:hint="eastAsia" w:ascii="仿宋_GB2312" w:hAnsi="仿宋_GB2312" w:eastAsia="仿宋_GB2312" w:cs="仿宋_GB2312"/>
          <w:color w:val="auto"/>
          <w:spacing w:val="0"/>
          <w:kern w:val="2"/>
          <w:sz w:val="32"/>
          <w:szCs w:val="32"/>
          <w:lang w:val="en-US" w:eastAsia="zh-CN" w:bidi="ar-SA"/>
        </w:rPr>
        <w:t>市、县、乡级人民政府应当全方位、多渠道、多形式加强对红色遗址遗迹保护的宣传教育，增强全民保护意识，营造全社会关注、支持红色遗址遗迹保护工作的良好氛围。</w:t>
      </w:r>
    </w:p>
    <w:p>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禁止</w:t>
      </w:r>
      <w:r>
        <w:rPr>
          <w:rFonts w:hint="eastAsia" w:ascii="仿宋_GB2312" w:hAnsi="仿宋_GB2312" w:eastAsia="仿宋_GB2312" w:cs="仿宋_GB2312"/>
          <w:color w:val="auto"/>
          <w:spacing w:val="0"/>
          <w:kern w:val="2"/>
          <w:sz w:val="32"/>
          <w:szCs w:val="32"/>
          <w:lang w:val="en-US" w:eastAsia="zh-Hans" w:bidi="ar-SA"/>
        </w:rPr>
        <w:t>以歪曲、丑化</w:t>
      </w:r>
      <w:r>
        <w:rPr>
          <w:rFonts w:hint="eastAsia" w:hAnsi="仿宋_GB2312" w:cs="仿宋_GB2312"/>
          <w:color w:val="auto"/>
          <w:spacing w:val="0"/>
          <w:kern w:val="2"/>
          <w:sz w:val="32"/>
          <w:szCs w:val="32"/>
          <w:lang w:val="en-US" w:eastAsia="zh-CN" w:bidi="ar-SA"/>
        </w:rPr>
        <w:t>、</w:t>
      </w:r>
      <w:r>
        <w:rPr>
          <w:rFonts w:hint="eastAsia" w:ascii="仿宋_GB2312" w:hAnsi="仿宋_GB2312" w:eastAsia="仿宋_GB2312" w:cs="仿宋_GB2312"/>
          <w:color w:val="auto"/>
          <w:spacing w:val="0"/>
          <w:kern w:val="2"/>
          <w:sz w:val="32"/>
          <w:szCs w:val="32"/>
          <w:lang w:val="en-US" w:eastAsia="zh-CN" w:bidi="ar-SA"/>
        </w:rPr>
        <w:t>亵渎、</w:t>
      </w:r>
      <w:r>
        <w:rPr>
          <w:rFonts w:hint="eastAsia" w:hAnsi="仿宋_GB2312" w:cs="仿宋_GB2312"/>
          <w:color w:val="auto"/>
          <w:spacing w:val="0"/>
          <w:kern w:val="2"/>
          <w:sz w:val="32"/>
          <w:szCs w:val="32"/>
          <w:lang w:val="en-US" w:eastAsia="zh-CN" w:bidi="ar-SA"/>
        </w:rPr>
        <w:t>否定</w:t>
      </w:r>
      <w:r>
        <w:rPr>
          <w:rFonts w:hint="eastAsia" w:ascii="仿宋_GB2312" w:hAnsi="仿宋_GB2312" w:eastAsia="仿宋_GB2312" w:cs="仿宋_GB2312"/>
          <w:color w:val="auto"/>
          <w:spacing w:val="0"/>
          <w:kern w:val="2"/>
          <w:sz w:val="32"/>
          <w:szCs w:val="32"/>
          <w:lang w:val="en-US" w:eastAsia="zh-Hans" w:bidi="ar-SA"/>
        </w:rPr>
        <w:t>等方式利用</w:t>
      </w:r>
      <w:r>
        <w:rPr>
          <w:rFonts w:hint="eastAsia" w:ascii="仿宋_GB2312" w:hAnsi="仿宋_GB2312" w:eastAsia="仿宋_GB2312" w:cs="仿宋_GB2312"/>
          <w:color w:val="auto"/>
          <w:spacing w:val="0"/>
          <w:kern w:val="2"/>
          <w:sz w:val="32"/>
          <w:szCs w:val="32"/>
          <w:lang w:val="en-US" w:eastAsia="zh-CN" w:bidi="ar-SA"/>
        </w:rPr>
        <w:t>红色遗址遗迹。</w:t>
      </w:r>
    </w:p>
    <w:p>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color w:val="auto"/>
          <w:spacing w:val="0"/>
          <w:kern w:val="2"/>
          <w:sz w:val="32"/>
          <w:szCs w:val="32"/>
          <w:lang w:val="en-US" w:eastAsia="zh-CN" w:bidi="ar-SA"/>
        </w:rPr>
      </w:pPr>
      <w:r>
        <w:rPr>
          <w:rFonts w:hint="eastAsia" w:ascii="黑体" w:hAnsi="黑体" w:eastAsia="黑体" w:cs="黑体"/>
          <w:color w:val="auto"/>
          <w:spacing w:val="0"/>
          <w:kern w:val="2"/>
          <w:sz w:val="32"/>
          <w:szCs w:val="32"/>
          <w:lang w:val="en-US" w:eastAsia="zh-CN" w:bidi="ar-SA"/>
        </w:rPr>
        <w:t xml:space="preserve">第二十条  </w:t>
      </w:r>
      <w:r>
        <w:rPr>
          <w:rFonts w:hint="eastAsia" w:ascii="仿宋_GB2312" w:hAnsi="仿宋_GB2312" w:eastAsia="仿宋_GB2312" w:cs="仿宋_GB2312"/>
          <w:color w:val="auto"/>
          <w:spacing w:val="0"/>
          <w:kern w:val="2"/>
          <w:sz w:val="32"/>
          <w:szCs w:val="32"/>
          <w:lang w:val="en-US" w:eastAsia="zh-CN" w:bidi="ar-SA"/>
        </w:rPr>
        <w:t>文化主管部门应当会同相关部门加强对红色遗址遗迹及其所承载历史的研究，收集资料编纂和出版刊物、书籍，挖掘、展示其精神内涵和历史价值。</w:t>
      </w:r>
    </w:p>
    <w:p>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新闻媒体应当创新传播方式，通过新闻报道、开设专栏、发布公益广告等形式，弘扬和传承革命精神。</w:t>
      </w:r>
    </w:p>
    <w:p>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鼓励高等院校、科研机构、其他组织和个人开展红色遗址遗迹学术研究，创作相关文学、影视、音乐等文艺作品，开发红色创意产品，促进红色文化传播。</w:t>
      </w:r>
    </w:p>
    <w:p>
      <w:pPr>
        <w:pStyle w:val="12"/>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Fonts w:hint="eastAsia" w:ascii="仿宋_GB2312" w:hAnsi="仿宋_GB2312" w:eastAsia="仿宋_GB2312" w:cs="仿宋_GB2312"/>
          <w:color w:val="auto"/>
          <w:spacing w:val="0"/>
          <w:kern w:val="2"/>
          <w:sz w:val="32"/>
          <w:szCs w:val="32"/>
          <w:lang w:val="en-US" w:eastAsia="zh-CN" w:bidi="ar-SA"/>
        </w:rPr>
      </w:pPr>
      <w:r>
        <w:rPr>
          <w:rFonts w:hint="eastAsia" w:ascii="黑体" w:hAnsi="黑体" w:eastAsia="黑体" w:cs="黑体"/>
          <w:color w:val="auto"/>
          <w:spacing w:val="0"/>
          <w:kern w:val="2"/>
          <w:sz w:val="32"/>
          <w:szCs w:val="32"/>
          <w:lang w:val="en-US" w:eastAsia="zh-CN" w:bidi="ar-SA"/>
        </w:rPr>
        <w:t xml:space="preserve">第二十一条  </w:t>
      </w:r>
      <w:r>
        <w:rPr>
          <w:rFonts w:hint="eastAsia" w:ascii="仿宋_GB2312" w:hAnsi="仿宋_GB2312" w:eastAsia="仿宋_GB2312" w:cs="仿宋_GB2312"/>
          <w:color w:val="auto"/>
          <w:spacing w:val="0"/>
          <w:kern w:val="2"/>
          <w:sz w:val="32"/>
          <w:szCs w:val="32"/>
          <w:lang w:val="en-US" w:eastAsia="zh-CN" w:bidi="ar-SA"/>
        </w:rPr>
        <w:t>纪念馆、陈列馆、博物馆等红色场馆应当按照有关规定向社会公众开放，并运用现代科技手段展览展示红色革命历史，增强生动性、互动性和体验性。</w:t>
      </w:r>
    </w:p>
    <w:p>
      <w:pPr>
        <w:pStyle w:val="13"/>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600" w:lineRule="exact"/>
        <w:ind w:right="0" w:rightChars="0" w:firstLine="640" w:firstLineChars="200"/>
        <w:jc w:val="both"/>
        <w:textAlignment w:val="auto"/>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展览展示的内容和讲解词应当征求有关部门意见，并按规定程序报批，确保其准确、完整和权威。</w:t>
      </w:r>
    </w:p>
    <w:p>
      <w:pPr>
        <w:pStyle w:val="13"/>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600" w:lineRule="exact"/>
        <w:ind w:right="0" w:rightChars="0" w:firstLine="640" w:firstLineChars="200"/>
        <w:jc w:val="both"/>
        <w:textAlignment w:val="auto"/>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展陈单位应当邀请英雄模范、退役军人、烈士亲属等通过讲解革命英雄故事等方式参与红色遗址遗迹保护传承活动。</w:t>
      </w:r>
    </w:p>
    <w:p>
      <w:pPr>
        <w:pStyle w:val="12"/>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鼓励利用红色遗址遗迹的建（构）筑物开设纪念馆、陈列馆、博物馆、传统作坊等进行活化利用。</w:t>
      </w:r>
    </w:p>
    <w:p>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color w:val="auto"/>
          <w:spacing w:val="0"/>
          <w:kern w:val="2"/>
          <w:sz w:val="32"/>
          <w:szCs w:val="32"/>
          <w:lang w:val="en-US" w:eastAsia="zh-CN" w:bidi="ar-SA"/>
        </w:rPr>
      </w:pPr>
      <w:r>
        <w:rPr>
          <w:rFonts w:hint="eastAsia" w:ascii="黑体" w:hAnsi="黑体" w:eastAsia="黑体" w:cs="黑体"/>
          <w:color w:val="auto"/>
          <w:spacing w:val="0"/>
          <w:kern w:val="2"/>
          <w:sz w:val="32"/>
          <w:szCs w:val="32"/>
          <w:lang w:val="en-US" w:eastAsia="zh-CN" w:bidi="ar-SA"/>
        </w:rPr>
        <w:t xml:space="preserve">第二十二条 </w:t>
      </w:r>
      <w:r>
        <w:rPr>
          <w:rFonts w:hint="eastAsia" w:ascii="仿宋_GB2312" w:hAnsi="仿宋_GB2312" w:eastAsia="仿宋_GB2312" w:cs="仿宋_GB2312"/>
          <w:color w:val="auto"/>
          <w:spacing w:val="0"/>
          <w:kern w:val="2"/>
          <w:sz w:val="32"/>
          <w:szCs w:val="32"/>
          <w:lang w:val="en-US" w:eastAsia="zh-CN" w:bidi="ar-SA"/>
        </w:rPr>
        <w:t xml:space="preserve"> 国家机关、企事业单位和社会组织，应当利用红色遗址遗迹开展爱国主义和革命传统教育。</w:t>
      </w:r>
    </w:p>
    <w:p>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各级各类学校、干部教育机构应当组织师生、培训学员到红色遗址遗迹开展现场教学、主题教育和研学实践等活动。</w:t>
      </w:r>
    </w:p>
    <w:p>
      <w:pPr>
        <w:pStyle w:val="13"/>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600" w:lineRule="exact"/>
        <w:ind w:right="0" w:rightChars="0" w:firstLine="640" w:firstLineChars="200"/>
        <w:jc w:val="both"/>
        <w:textAlignment w:val="auto"/>
        <w:rPr>
          <w:rFonts w:hint="eastAsia" w:ascii="仿宋_GB2312" w:hAnsi="仿宋_GB2312" w:eastAsia="仿宋_GB2312" w:cs="仿宋_GB2312"/>
          <w:color w:val="auto"/>
          <w:spacing w:val="0"/>
          <w:kern w:val="2"/>
          <w:sz w:val="32"/>
          <w:szCs w:val="32"/>
          <w:lang w:val="en-US" w:eastAsia="zh-CN" w:bidi="ar-SA"/>
        </w:rPr>
      </w:pPr>
      <w:r>
        <w:rPr>
          <w:rFonts w:hint="eastAsia" w:ascii="黑体" w:hAnsi="黑体" w:eastAsia="黑体" w:cs="黑体"/>
          <w:color w:val="auto"/>
          <w:spacing w:val="0"/>
          <w:kern w:val="2"/>
          <w:sz w:val="32"/>
          <w:szCs w:val="32"/>
          <w:lang w:val="en-US" w:eastAsia="zh-CN" w:bidi="ar-SA"/>
        </w:rPr>
        <w:t xml:space="preserve">第二十三条 </w:t>
      </w:r>
      <w:r>
        <w:rPr>
          <w:rFonts w:hint="eastAsia" w:ascii="黑体" w:hAnsi="黑体" w:eastAsia="黑体" w:cs="黑体"/>
          <w:dstrike w:val="0"/>
          <w:color w:val="auto"/>
          <w:spacing w:val="0"/>
          <w:kern w:val="2"/>
          <w:sz w:val="32"/>
          <w:szCs w:val="32"/>
          <w:lang w:val="en-US" w:eastAsia="zh-CN" w:bidi="ar-SA"/>
        </w:rPr>
        <w:t xml:space="preserve"> </w:t>
      </w:r>
      <w:r>
        <w:rPr>
          <w:rFonts w:hint="eastAsia" w:ascii="仿宋_GB2312" w:hAnsi="仿宋_GB2312" w:eastAsia="仿宋_GB2312" w:cs="仿宋_GB2312"/>
          <w:color w:val="auto"/>
          <w:spacing w:val="0"/>
          <w:kern w:val="2"/>
          <w:sz w:val="32"/>
          <w:szCs w:val="32"/>
          <w:lang w:val="en-US" w:eastAsia="zh-CN" w:bidi="ar-SA"/>
        </w:rPr>
        <w:t>市、县级人民政府应当在确保红色遗址遗迹安全和不破坏历史风貌的前提下，以建设长征国家文化公园为依托，推动红色文化与旅游产业深度融合，发展红色文化旅游产业。</w:t>
      </w:r>
    </w:p>
    <w:p>
      <w:pPr>
        <w:pStyle w:val="12"/>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国有公司可以对非国有红色遗址遗迹采取收购、租赁等方式进行活化利用。</w:t>
      </w:r>
    </w:p>
    <w:p>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鼓励、支持社会组织和个人合理利用红色遗址遗迹资源，开发红色文化特色旅游项目。</w:t>
      </w:r>
    </w:p>
    <w:p>
      <w:pPr>
        <w:pStyle w:val="9"/>
        <w:keepNext w:val="0"/>
        <w:keepLines w:val="0"/>
        <w:pageBreakBefore w:val="0"/>
        <w:widowControl/>
        <w:kinsoku/>
        <w:wordWrap/>
        <w:overflowPunct/>
        <w:topLinePunct w:val="0"/>
        <w:autoSpaceDE/>
        <w:autoSpaceDN/>
        <w:bidi w:val="0"/>
        <w:adjustRightInd w:val="0"/>
        <w:snapToGrid w:val="0"/>
        <w:spacing w:line="600" w:lineRule="exact"/>
        <w:ind w:leftChars="0"/>
        <w:jc w:val="center"/>
        <w:textAlignment w:val="auto"/>
        <w:rPr>
          <w:rFonts w:hint="eastAsia" w:ascii="黑体" w:hAnsi="黑体" w:eastAsia="黑体" w:cs="黑体"/>
          <w:color w:val="auto"/>
          <w:spacing w:val="0"/>
          <w:kern w:val="2"/>
          <w:sz w:val="32"/>
          <w:szCs w:val="32"/>
          <w:lang w:val="en-US" w:eastAsia="zh-CN" w:bidi="ar-SA"/>
        </w:rPr>
      </w:pPr>
    </w:p>
    <w:p>
      <w:pPr>
        <w:pStyle w:val="9"/>
        <w:keepNext w:val="0"/>
        <w:keepLines w:val="0"/>
        <w:pageBreakBefore w:val="0"/>
        <w:widowControl/>
        <w:kinsoku/>
        <w:wordWrap/>
        <w:overflowPunct/>
        <w:topLinePunct w:val="0"/>
        <w:autoSpaceDE/>
        <w:autoSpaceDN/>
        <w:bidi w:val="0"/>
        <w:adjustRightInd w:val="0"/>
        <w:snapToGrid w:val="0"/>
        <w:spacing w:line="600" w:lineRule="exact"/>
        <w:ind w:leftChars="0"/>
        <w:jc w:val="center"/>
        <w:textAlignment w:val="auto"/>
        <w:rPr>
          <w:rFonts w:hint="eastAsia" w:ascii="黑体" w:hAnsi="黑体" w:eastAsia="黑体" w:cs="黑体"/>
          <w:color w:val="auto"/>
          <w:spacing w:val="0"/>
          <w:kern w:val="2"/>
          <w:sz w:val="32"/>
          <w:szCs w:val="32"/>
          <w:lang w:val="en-US" w:eastAsia="zh-CN" w:bidi="ar-SA"/>
        </w:rPr>
      </w:pPr>
      <w:r>
        <w:rPr>
          <w:rFonts w:hint="eastAsia" w:ascii="黑体" w:hAnsi="黑体" w:eastAsia="黑体" w:cs="黑体"/>
          <w:color w:val="auto"/>
          <w:spacing w:val="0"/>
          <w:kern w:val="2"/>
          <w:sz w:val="32"/>
          <w:szCs w:val="32"/>
          <w:lang w:val="en-US" w:eastAsia="zh-CN" w:bidi="ar-SA"/>
        </w:rPr>
        <w:t>第四章  法律责任</w:t>
      </w:r>
    </w:p>
    <w:p>
      <w:pPr>
        <w:pStyle w:val="9"/>
        <w:keepNext w:val="0"/>
        <w:keepLines w:val="0"/>
        <w:pageBreakBefore w:val="0"/>
        <w:widowControl/>
        <w:kinsoku/>
        <w:wordWrap/>
        <w:overflowPunct/>
        <w:topLinePunct w:val="0"/>
        <w:autoSpaceDE/>
        <w:autoSpaceDN/>
        <w:bidi w:val="0"/>
        <w:adjustRightInd w:val="0"/>
        <w:snapToGrid w:val="0"/>
        <w:spacing w:line="600" w:lineRule="exact"/>
        <w:ind w:leftChars="0" w:firstLine="640" w:firstLineChars="200"/>
        <w:textAlignment w:val="auto"/>
        <w:rPr>
          <w:rFonts w:hint="eastAsia" w:ascii="仿宋_GB2312" w:hAnsi="仿宋_GB2312" w:eastAsia="仿宋_GB2312" w:cs="仿宋_GB2312"/>
          <w:color w:val="auto"/>
          <w:spacing w:val="0"/>
          <w:sz w:val="32"/>
          <w:szCs w:val="32"/>
        </w:rPr>
      </w:pPr>
    </w:p>
    <w:p>
      <w:pPr>
        <w:pStyle w:val="9"/>
        <w:keepNext w:val="0"/>
        <w:keepLines w:val="0"/>
        <w:pageBreakBefore w:val="0"/>
        <w:widowControl/>
        <w:kinsoku/>
        <w:wordWrap/>
        <w:overflowPunct/>
        <w:topLinePunct w:val="0"/>
        <w:autoSpaceDE/>
        <w:autoSpaceDN/>
        <w:bidi w:val="0"/>
        <w:adjustRightInd w:val="0"/>
        <w:snapToGrid w:val="0"/>
        <w:spacing w:line="600" w:lineRule="exact"/>
        <w:ind w:leftChars="0" w:firstLine="640" w:firstLineChars="200"/>
        <w:jc w:val="both"/>
        <w:textAlignment w:val="auto"/>
        <w:rPr>
          <w:rFonts w:hint="eastAsia" w:ascii="仿宋_GB2312" w:hAnsi="仿宋_GB2312" w:eastAsia="仿宋_GB2312" w:cs="仿宋_GB2312"/>
          <w:color w:val="auto"/>
          <w:spacing w:val="0"/>
          <w:kern w:val="2"/>
          <w:sz w:val="32"/>
          <w:szCs w:val="32"/>
          <w:lang w:val="en-US" w:eastAsia="zh-CN" w:bidi="ar-SA"/>
        </w:rPr>
      </w:pPr>
      <w:r>
        <w:rPr>
          <w:rFonts w:hint="eastAsia" w:ascii="黑体" w:hAnsi="黑体" w:eastAsia="黑体" w:cs="黑体"/>
          <w:color w:val="auto"/>
          <w:spacing w:val="0"/>
          <w:kern w:val="2"/>
          <w:sz w:val="32"/>
          <w:szCs w:val="32"/>
          <w:lang w:val="en-US" w:eastAsia="zh-CN" w:bidi="ar-SA"/>
        </w:rPr>
        <w:t xml:space="preserve">第二十四条 </w:t>
      </w:r>
      <w:r>
        <w:rPr>
          <w:rFonts w:hint="eastAsia" w:ascii="仿宋_GB2312" w:hAnsi="仿宋_GB2312" w:eastAsia="仿宋_GB2312" w:cs="仿宋_GB2312"/>
          <w:color w:val="auto"/>
          <w:spacing w:val="0"/>
          <w:kern w:val="2"/>
          <w:sz w:val="32"/>
          <w:szCs w:val="32"/>
          <w:lang w:val="en-US" w:eastAsia="zh-CN" w:bidi="ar-SA"/>
        </w:rPr>
        <w:t>违反本条例第十七条规定的，按照下列规定</w:t>
      </w:r>
      <w:r>
        <w:rPr>
          <w:rFonts w:hint="eastAsia" w:ascii="仿宋_GB2312" w:hAnsi="仿宋_GB2312" w:cs="仿宋_GB2312"/>
          <w:color w:val="auto"/>
          <w:spacing w:val="0"/>
          <w:kern w:val="2"/>
          <w:sz w:val="32"/>
          <w:szCs w:val="32"/>
          <w:lang w:val="en-US" w:eastAsia="zh-CN" w:bidi="ar-SA"/>
        </w:rPr>
        <w:t>给予</w:t>
      </w:r>
      <w:r>
        <w:rPr>
          <w:rFonts w:hint="eastAsia" w:ascii="仿宋_GB2312" w:hAnsi="仿宋_GB2312" w:eastAsia="仿宋_GB2312" w:cs="仿宋_GB2312"/>
          <w:color w:val="auto"/>
          <w:spacing w:val="0"/>
          <w:kern w:val="2"/>
          <w:sz w:val="32"/>
          <w:szCs w:val="32"/>
          <w:lang w:val="en-US" w:eastAsia="zh-CN" w:bidi="ar-SA"/>
        </w:rPr>
        <w:t>处罚：</w:t>
      </w:r>
    </w:p>
    <w:p>
      <w:pPr>
        <w:pStyle w:val="9"/>
        <w:keepNext w:val="0"/>
        <w:keepLines w:val="0"/>
        <w:pageBreakBefore w:val="0"/>
        <w:widowControl/>
        <w:kinsoku/>
        <w:wordWrap/>
        <w:overflowPunct/>
        <w:topLinePunct w:val="0"/>
        <w:autoSpaceDE/>
        <w:autoSpaceDN/>
        <w:bidi w:val="0"/>
        <w:adjustRightInd w:val="0"/>
        <w:snapToGrid w:val="0"/>
        <w:spacing w:line="600" w:lineRule="exact"/>
        <w:ind w:leftChars="0" w:firstLine="640" w:firstLineChars="200"/>
        <w:jc w:val="both"/>
        <w:textAlignment w:val="auto"/>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（一）违反第一项规定的，由文化</w:t>
      </w:r>
      <w:r>
        <w:rPr>
          <w:rFonts w:hint="eastAsia" w:ascii="仿宋_GB2312" w:hAnsi="仿宋_GB2312" w:cs="仿宋_GB2312"/>
          <w:color w:val="auto"/>
          <w:spacing w:val="0"/>
          <w:kern w:val="2"/>
          <w:sz w:val="32"/>
          <w:szCs w:val="32"/>
          <w:lang w:val="en-US" w:eastAsia="zh-CN" w:bidi="ar-SA"/>
        </w:rPr>
        <w:t>或者退役军人事务等</w:t>
      </w:r>
      <w:r>
        <w:rPr>
          <w:rFonts w:hint="eastAsia" w:ascii="仿宋_GB2312" w:hAnsi="仿宋_GB2312" w:eastAsia="仿宋_GB2312" w:cs="仿宋_GB2312"/>
          <w:color w:val="auto"/>
          <w:spacing w:val="0"/>
          <w:kern w:val="2"/>
          <w:sz w:val="32"/>
          <w:szCs w:val="32"/>
          <w:lang w:val="en-US" w:eastAsia="zh-CN" w:bidi="ar-SA"/>
        </w:rPr>
        <w:t>主管部门</w:t>
      </w:r>
      <w:r>
        <w:rPr>
          <w:rFonts w:hint="eastAsia" w:ascii="仿宋_GB2312" w:hAnsi="仿宋_GB2312" w:cs="仿宋_GB2312"/>
          <w:color w:val="auto"/>
          <w:spacing w:val="0"/>
          <w:kern w:val="2"/>
          <w:sz w:val="32"/>
          <w:szCs w:val="32"/>
          <w:lang w:val="en-US" w:eastAsia="zh-CN" w:bidi="ar-SA"/>
        </w:rPr>
        <w:t>按照各自职责</w:t>
      </w:r>
      <w:r>
        <w:rPr>
          <w:rFonts w:hint="eastAsia" w:ascii="仿宋_GB2312" w:hAnsi="仿宋_GB2312" w:eastAsia="仿宋_GB2312" w:cs="仿宋_GB2312"/>
          <w:color w:val="auto"/>
          <w:spacing w:val="0"/>
          <w:kern w:val="2"/>
          <w:sz w:val="32"/>
          <w:szCs w:val="32"/>
          <w:lang w:val="en-US" w:eastAsia="zh-CN" w:bidi="ar-SA"/>
        </w:rPr>
        <w:t>责令改正</w:t>
      </w:r>
      <w:r>
        <w:rPr>
          <w:rFonts w:hint="eastAsia" w:ascii="仿宋_GB2312" w:hAnsi="仿宋_GB2312" w:cs="仿宋_GB2312"/>
          <w:color w:val="auto"/>
          <w:spacing w:val="0"/>
          <w:kern w:val="2"/>
          <w:sz w:val="32"/>
          <w:szCs w:val="32"/>
          <w:lang w:val="en-US" w:eastAsia="zh-CN" w:bidi="ar-SA"/>
        </w:rPr>
        <w:t>，</w:t>
      </w:r>
      <w:r>
        <w:rPr>
          <w:rFonts w:hint="eastAsia" w:ascii="仿宋_GB2312" w:hAnsi="仿宋_GB2312" w:eastAsia="仿宋_GB2312" w:cs="仿宋_GB2312"/>
          <w:color w:val="auto"/>
          <w:spacing w:val="0"/>
          <w:kern w:val="2"/>
          <w:sz w:val="32"/>
          <w:szCs w:val="32"/>
          <w:lang w:val="en-US" w:eastAsia="zh-CN" w:bidi="ar-SA"/>
        </w:rPr>
        <w:t>限期恢复原状；造成严重后果的，处以5万元以上50万元以下罚款；</w:t>
      </w:r>
    </w:p>
    <w:p>
      <w:pPr>
        <w:pStyle w:val="9"/>
        <w:keepNext w:val="0"/>
        <w:keepLines w:val="0"/>
        <w:pageBreakBefore w:val="0"/>
        <w:widowControl/>
        <w:kinsoku/>
        <w:wordWrap/>
        <w:overflowPunct/>
        <w:topLinePunct w:val="0"/>
        <w:autoSpaceDE/>
        <w:autoSpaceDN/>
        <w:bidi w:val="0"/>
        <w:adjustRightInd w:val="0"/>
        <w:snapToGrid w:val="0"/>
        <w:spacing w:line="600" w:lineRule="exact"/>
        <w:ind w:leftChars="0" w:firstLine="640" w:firstLineChars="200"/>
        <w:jc w:val="both"/>
        <w:textAlignment w:val="auto"/>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（二）违反第二项规定的，由文化</w:t>
      </w:r>
      <w:r>
        <w:rPr>
          <w:rFonts w:hint="eastAsia" w:ascii="仿宋_GB2312" w:hAnsi="仿宋_GB2312" w:cs="仿宋_GB2312"/>
          <w:color w:val="auto"/>
          <w:spacing w:val="0"/>
          <w:kern w:val="2"/>
          <w:sz w:val="32"/>
          <w:szCs w:val="32"/>
          <w:lang w:val="en-US" w:eastAsia="zh-CN" w:bidi="ar-SA"/>
        </w:rPr>
        <w:t>或者</w:t>
      </w:r>
      <w:r>
        <w:rPr>
          <w:rFonts w:hint="eastAsia" w:ascii="仿宋_GB2312" w:hAnsi="仿宋_GB2312" w:eastAsia="仿宋_GB2312" w:cs="仿宋_GB2312"/>
          <w:color w:val="auto"/>
          <w:spacing w:val="0"/>
          <w:kern w:val="2"/>
          <w:sz w:val="32"/>
          <w:szCs w:val="32"/>
          <w:lang w:val="en-US" w:eastAsia="zh-CN" w:bidi="ar-SA"/>
        </w:rPr>
        <w:t>退役军人事务等主管部门按照各自职责责令停止违法行为、限期恢复原状或者采取其他补救措施；造成严重后果的，处以5万元以上50万元以下罚款：</w:t>
      </w:r>
    </w:p>
    <w:p>
      <w:pPr>
        <w:pStyle w:val="9"/>
        <w:keepNext w:val="0"/>
        <w:keepLines w:val="0"/>
        <w:pageBreakBefore w:val="0"/>
        <w:widowControl/>
        <w:kinsoku/>
        <w:wordWrap/>
        <w:overflowPunct/>
        <w:topLinePunct w:val="0"/>
        <w:autoSpaceDE/>
        <w:autoSpaceDN/>
        <w:bidi w:val="0"/>
        <w:adjustRightInd w:val="0"/>
        <w:snapToGrid w:val="0"/>
        <w:spacing w:line="600" w:lineRule="exact"/>
        <w:ind w:leftChars="0" w:firstLine="640" w:firstLineChars="200"/>
        <w:jc w:val="both"/>
        <w:textAlignment w:val="auto"/>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（三）违反第三项规定的，由公安机关依照有关法律、法规的规定给予处罚。</w:t>
      </w:r>
    </w:p>
    <w:p>
      <w:pPr>
        <w:pStyle w:val="9"/>
        <w:keepNext w:val="0"/>
        <w:keepLines w:val="0"/>
        <w:pageBreakBefore w:val="0"/>
        <w:widowControl/>
        <w:kinsoku/>
        <w:wordWrap/>
        <w:overflowPunct/>
        <w:topLinePunct w:val="0"/>
        <w:autoSpaceDE/>
        <w:autoSpaceDN/>
        <w:bidi w:val="0"/>
        <w:adjustRightInd w:val="0"/>
        <w:snapToGrid w:val="0"/>
        <w:spacing w:line="600" w:lineRule="exact"/>
        <w:ind w:leftChars="0" w:firstLine="640" w:firstLineChars="200"/>
        <w:jc w:val="both"/>
        <w:textAlignment w:val="auto"/>
        <w:rPr>
          <w:rFonts w:hint="eastAsia" w:ascii="仿宋_GB2312" w:hAnsi="仿宋_GB2312" w:eastAsia="仿宋_GB2312" w:cs="仿宋_GB2312"/>
          <w:color w:val="auto"/>
          <w:spacing w:val="0"/>
          <w:kern w:val="2"/>
          <w:sz w:val="32"/>
          <w:szCs w:val="32"/>
          <w:lang w:val="en-US" w:eastAsia="zh-CN" w:bidi="ar-SA"/>
        </w:rPr>
      </w:pPr>
      <w:r>
        <w:rPr>
          <w:rFonts w:hint="eastAsia" w:ascii="黑体" w:hAnsi="黑体" w:eastAsia="黑体" w:cs="黑体"/>
          <w:color w:val="auto"/>
          <w:spacing w:val="0"/>
          <w:kern w:val="2"/>
          <w:sz w:val="32"/>
          <w:szCs w:val="32"/>
          <w:lang w:val="en-US" w:eastAsia="zh-CN" w:bidi="ar-SA"/>
        </w:rPr>
        <w:t xml:space="preserve">第二十五条 </w:t>
      </w:r>
      <w:r>
        <w:rPr>
          <w:rFonts w:hint="eastAsia" w:ascii="仿宋_GB2312" w:hAnsi="仿宋_GB2312" w:eastAsia="仿宋_GB2312" w:cs="仿宋_GB2312"/>
          <w:color w:val="auto"/>
          <w:spacing w:val="0"/>
          <w:kern w:val="2"/>
          <w:sz w:val="32"/>
          <w:szCs w:val="32"/>
          <w:lang w:val="en-US" w:eastAsia="zh-CN" w:bidi="ar-SA"/>
        </w:rPr>
        <w:t>违反本条例第十八条规定的，按照下列规定</w:t>
      </w:r>
      <w:r>
        <w:rPr>
          <w:rFonts w:hint="eastAsia" w:ascii="仿宋_GB2312" w:hAnsi="仿宋_GB2312" w:cs="仿宋_GB2312"/>
          <w:color w:val="auto"/>
          <w:spacing w:val="0"/>
          <w:kern w:val="2"/>
          <w:sz w:val="32"/>
          <w:szCs w:val="32"/>
          <w:lang w:val="en-US" w:eastAsia="zh-CN" w:bidi="ar-SA"/>
        </w:rPr>
        <w:t>给予</w:t>
      </w:r>
      <w:r>
        <w:rPr>
          <w:rFonts w:hint="eastAsia" w:ascii="仿宋_GB2312" w:hAnsi="仿宋_GB2312" w:eastAsia="仿宋_GB2312" w:cs="仿宋_GB2312"/>
          <w:color w:val="auto"/>
          <w:spacing w:val="0"/>
          <w:kern w:val="2"/>
          <w:sz w:val="32"/>
          <w:szCs w:val="32"/>
          <w:lang w:val="en-US" w:eastAsia="zh-CN" w:bidi="ar-SA"/>
        </w:rPr>
        <w:t>处罚：</w:t>
      </w:r>
    </w:p>
    <w:p>
      <w:pPr>
        <w:pStyle w:val="9"/>
        <w:keepNext w:val="0"/>
        <w:keepLines w:val="0"/>
        <w:pageBreakBefore w:val="0"/>
        <w:widowControl/>
        <w:kinsoku/>
        <w:wordWrap/>
        <w:overflowPunct/>
        <w:topLinePunct w:val="0"/>
        <w:autoSpaceDE/>
        <w:autoSpaceDN/>
        <w:bidi w:val="0"/>
        <w:adjustRightInd w:val="0"/>
        <w:snapToGrid w:val="0"/>
        <w:spacing w:line="600" w:lineRule="exact"/>
        <w:ind w:leftChars="0" w:firstLine="640" w:firstLineChars="200"/>
        <w:jc w:val="both"/>
        <w:textAlignment w:val="auto"/>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（一）违反第一项规定的，由文化</w:t>
      </w:r>
      <w:r>
        <w:rPr>
          <w:rFonts w:hint="eastAsia" w:ascii="仿宋_GB2312" w:hAnsi="仿宋_GB2312" w:cs="仿宋_GB2312"/>
          <w:color w:val="auto"/>
          <w:spacing w:val="0"/>
          <w:kern w:val="2"/>
          <w:sz w:val="32"/>
          <w:szCs w:val="32"/>
          <w:lang w:val="en-US" w:eastAsia="zh-CN" w:bidi="ar-SA"/>
        </w:rPr>
        <w:t>或者退役军人事务等</w:t>
      </w:r>
      <w:r>
        <w:rPr>
          <w:rFonts w:hint="eastAsia" w:ascii="仿宋_GB2312" w:hAnsi="仿宋_GB2312" w:eastAsia="仿宋_GB2312" w:cs="仿宋_GB2312"/>
          <w:color w:val="auto"/>
          <w:spacing w:val="0"/>
          <w:kern w:val="2"/>
          <w:sz w:val="32"/>
          <w:szCs w:val="32"/>
          <w:lang w:val="en-US" w:eastAsia="zh-CN" w:bidi="ar-SA"/>
        </w:rPr>
        <w:t>主管部门责令改正；造成严重后果的，处以5万元以上50万元以下罚款；</w:t>
      </w:r>
    </w:p>
    <w:p>
      <w:pPr>
        <w:pStyle w:val="9"/>
        <w:keepNext w:val="0"/>
        <w:keepLines w:val="0"/>
        <w:pageBreakBefore w:val="0"/>
        <w:widowControl/>
        <w:kinsoku/>
        <w:wordWrap/>
        <w:overflowPunct/>
        <w:topLinePunct w:val="0"/>
        <w:autoSpaceDE/>
        <w:autoSpaceDN/>
        <w:bidi w:val="0"/>
        <w:adjustRightInd w:val="0"/>
        <w:snapToGrid w:val="0"/>
        <w:spacing w:line="600" w:lineRule="exact"/>
        <w:ind w:leftChars="0" w:firstLine="640" w:firstLineChars="200"/>
        <w:jc w:val="both"/>
        <w:textAlignment w:val="auto"/>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（二）违反第二项、第三项规定的，由文化</w:t>
      </w:r>
      <w:r>
        <w:rPr>
          <w:rFonts w:hint="eastAsia" w:ascii="仿宋_GB2312" w:hAnsi="仿宋_GB2312" w:cs="仿宋_GB2312"/>
          <w:color w:val="auto"/>
          <w:spacing w:val="0"/>
          <w:kern w:val="2"/>
          <w:sz w:val="32"/>
          <w:szCs w:val="32"/>
          <w:lang w:val="en-US" w:eastAsia="zh-CN" w:bidi="ar-SA"/>
        </w:rPr>
        <w:t>或者退役军人事务等</w:t>
      </w:r>
      <w:r>
        <w:rPr>
          <w:rFonts w:hint="eastAsia" w:ascii="仿宋_GB2312" w:hAnsi="仿宋_GB2312" w:eastAsia="仿宋_GB2312" w:cs="仿宋_GB2312"/>
          <w:color w:val="auto"/>
          <w:spacing w:val="0"/>
          <w:kern w:val="2"/>
          <w:sz w:val="32"/>
          <w:szCs w:val="32"/>
          <w:lang w:val="en-US" w:eastAsia="zh-CN" w:bidi="ar-SA"/>
        </w:rPr>
        <w:t>主管部门给予警告，责令恢复原状或者采取其他补救措施，可以并处以200元</w:t>
      </w:r>
      <w:r>
        <w:rPr>
          <w:rFonts w:hint="eastAsia" w:ascii="仿宋_GB2312" w:hAnsi="仿宋_GB2312" w:cs="仿宋_GB2312"/>
          <w:color w:val="auto"/>
          <w:spacing w:val="0"/>
          <w:kern w:val="2"/>
          <w:sz w:val="32"/>
          <w:szCs w:val="32"/>
          <w:lang w:val="en-US" w:eastAsia="zh-CN" w:bidi="ar-SA"/>
        </w:rPr>
        <w:t>以下</w:t>
      </w:r>
      <w:r>
        <w:rPr>
          <w:rFonts w:hint="eastAsia" w:ascii="仿宋_GB2312" w:hAnsi="仿宋_GB2312" w:eastAsia="仿宋_GB2312" w:cs="仿宋_GB2312"/>
          <w:color w:val="auto"/>
          <w:spacing w:val="0"/>
          <w:kern w:val="2"/>
          <w:sz w:val="32"/>
          <w:szCs w:val="32"/>
          <w:lang w:val="en-US" w:eastAsia="zh-CN" w:bidi="ar-SA"/>
        </w:rPr>
        <w:t>罚款；</w:t>
      </w:r>
    </w:p>
    <w:p>
      <w:pPr>
        <w:pStyle w:val="9"/>
        <w:keepNext w:val="0"/>
        <w:keepLines w:val="0"/>
        <w:pageBreakBefore w:val="0"/>
        <w:widowControl/>
        <w:kinsoku/>
        <w:wordWrap/>
        <w:overflowPunct/>
        <w:topLinePunct w:val="0"/>
        <w:autoSpaceDE/>
        <w:autoSpaceDN/>
        <w:bidi w:val="0"/>
        <w:adjustRightInd w:val="0"/>
        <w:snapToGrid w:val="0"/>
        <w:spacing w:line="600" w:lineRule="exact"/>
        <w:ind w:leftChars="0" w:firstLine="640" w:firstLineChars="200"/>
        <w:jc w:val="both"/>
        <w:textAlignment w:val="auto"/>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w:t>
      </w:r>
      <w:r>
        <w:rPr>
          <w:rFonts w:hint="eastAsia" w:ascii="仿宋_GB2312" w:hAnsi="仿宋_GB2312" w:cs="仿宋_GB2312"/>
          <w:color w:val="auto"/>
          <w:spacing w:val="0"/>
          <w:kern w:val="2"/>
          <w:sz w:val="32"/>
          <w:szCs w:val="32"/>
          <w:lang w:val="en-US" w:eastAsia="zh-CN" w:bidi="ar-SA"/>
        </w:rPr>
        <w:t>三</w:t>
      </w:r>
      <w:r>
        <w:rPr>
          <w:rFonts w:hint="eastAsia" w:ascii="仿宋_GB2312" w:hAnsi="仿宋_GB2312" w:eastAsia="仿宋_GB2312" w:cs="仿宋_GB2312"/>
          <w:color w:val="auto"/>
          <w:spacing w:val="0"/>
          <w:kern w:val="2"/>
          <w:sz w:val="32"/>
          <w:szCs w:val="32"/>
          <w:lang w:val="en-US" w:eastAsia="zh-CN" w:bidi="ar-SA"/>
        </w:rPr>
        <w:t>）违反第四项规定，使用明火的，由</w:t>
      </w:r>
      <w:r>
        <w:rPr>
          <w:rFonts w:hint="eastAsia" w:ascii="仿宋_GB2312" w:hAnsi="仿宋_GB2312" w:cs="仿宋_GB2312"/>
          <w:color w:val="auto"/>
          <w:spacing w:val="0"/>
          <w:kern w:val="2"/>
          <w:sz w:val="32"/>
          <w:szCs w:val="32"/>
          <w:lang w:val="en-US" w:eastAsia="zh-CN" w:bidi="ar-SA"/>
        </w:rPr>
        <w:t>消防救援机构处以</w:t>
      </w:r>
      <w:r>
        <w:rPr>
          <w:rFonts w:hint="eastAsia" w:ascii="仿宋_GB2312" w:hAnsi="仿宋_GB2312" w:eastAsia="仿宋_GB2312" w:cs="仿宋_GB2312"/>
          <w:color w:val="auto"/>
          <w:spacing w:val="0"/>
          <w:kern w:val="2"/>
          <w:sz w:val="32"/>
          <w:szCs w:val="32"/>
          <w:lang w:val="en-US" w:eastAsia="zh-CN" w:bidi="ar-SA"/>
        </w:rPr>
        <w:t>警告；拒不改正的，处以500元以下罚款。燃放烟花爆竹的，由公安机关责令停止燃放，处以200元以上500元以下罚款；</w:t>
      </w:r>
    </w:p>
    <w:p>
      <w:pPr>
        <w:pStyle w:val="9"/>
        <w:keepNext w:val="0"/>
        <w:keepLines w:val="0"/>
        <w:pageBreakBefore w:val="0"/>
        <w:widowControl/>
        <w:kinsoku/>
        <w:wordWrap/>
        <w:overflowPunct/>
        <w:topLinePunct w:val="0"/>
        <w:autoSpaceDE/>
        <w:autoSpaceDN/>
        <w:bidi w:val="0"/>
        <w:adjustRightInd w:val="0"/>
        <w:snapToGrid w:val="0"/>
        <w:spacing w:line="600" w:lineRule="exact"/>
        <w:ind w:leftChars="0" w:firstLine="640" w:firstLineChars="200"/>
        <w:jc w:val="both"/>
        <w:textAlignment w:val="auto"/>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（四）违反第五项规定的，由文化或者退役军人事务主管部门责令改正；拒不改正的，对个人可以处以</w:t>
      </w:r>
      <w:r>
        <w:rPr>
          <w:rFonts w:hint="eastAsia" w:ascii="仿宋_GB2312" w:hAnsi="仿宋_GB2312" w:cs="仿宋_GB2312"/>
          <w:color w:val="auto"/>
          <w:spacing w:val="0"/>
          <w:kern w:val="2"/>
          <w:sz w:val="32"/>
          <w:szCs w:val="32"/>
          <w:lang w:val="en-US" w:eastAsia="zh-CN" w:bidi="ar-SA"/>
        </w:rPr>
        <w:t>100</w:t>
      </w:r>
      <w:r>
        <w:rPr>
          <w:rFonts w:hint="eastAsia" w:ascii="仿宋_GB2312" w:hAnsi="仿宋_GB2312" w:eastAsia="仿宋_GB2312" w:cs="仿宋_GB2312"/>
          <w:color w:val="auto"/>
          <w:spacing w:val="0"/>
          <w:kern w:val="2"/>
          <w:sz w:val="32"/>
          <w:szCs w:val="32"/>
          <w:lang w:val="en-US" w:eastAsia="zh-CN" w:bidi="ar-SA"/>
        </w:rPr>
        <w:t>元以</w:t>
      </w:r>
      <w:r>
        <w:rPr>
          <w:rFonts w:hint="eastAsia" w:ascii="仿宋_GB2312" w:hAnsi="仿宋_GB2312" w:cs="仿宋_GB2312"/>
          <w:color w:val="auto"/>
          <w:spacing w:val="0"/>
          <w:kern w:val="2"/>
          <w:sz w:val="32"/>
          <w:szCs w:val="32"/>
          <w:lang w:val="en-US" w:eastAsia="zh-CN" w:bidi="ar-SA"/>
        </w:rPr>
        <w:t>5</w:t>
      </w:r>
      <w:r>
        <w:rPr>
          <w:rFonts w:hint="eastAsia" w:ascii="仿宋_GB2312" w:hAnsi="仿宋_GB2312" w:eastAsia="仿宋_GB2312" w:cs="仿宋_GB2312"/>
          <w:color w:val="auto"/>
          <w:spacing w:val="0"/>
          <w:kern w:val="2"/>
          <w:sz w:val="32"/>
          <w:szCs w:val="32"/>
          <w:lang w:val="en-US" w:eastAsia="zh-CN" w:bidi="ar-SA"/>
        </w:rPr>
        <w:t>00元以下罚款</w:t>
      </w:r>
      <w:r>
        <w:rPr>
          <w:rFonts w:hint="eastAsia" w:ascii="仿宋_GB2312" w:hAnsi="仿宋_GB2312" w:cs="仿宋_GB2312"/>
          <w:color w:val="auto"/>
          <w:spacing w:val="0"/>
          <w:kern w:val="2"/>
          <w:sz w:val="32"/>
          <w:szCs w:val="32"/>
          <w:lang w:val="en-US" w:eastAsia="zh-CN" w:bidi="ar-SA"/>
        </w:rPr>
        <w:t>，</w:t>
      </w:r>
      <w:r>
        <w:rPr>
          <w:rFonts w:hint="eastAsia" w:ascii="仿宋_GB2312" w:hAnsi="仿宋_GB2312" w:eastAsia="仿宋_GB2312" w:cs="仿宋_GB2312"/>
          <w:color w:val="auto"/>
          <w:spacing w:val="0"/>
          <w:kern w:val="2"/>
          <w:sz w:val="32"/>
          <w:szCs w:val="32"/>
          <w:lang w:val="en-US" w:eastAsia="zh-CN" w:bidi="ar-SA"/>
        </w:rPr>
        <w:t>对单位可以处以200元以上2000元以下罚款。</w:t>
      </w:r>
    </w:p>
    <w:p>
      <w:pPr>
        <w:pStyle w:val="9"/>
        <w:keepNext w:val="0"/>
        <w:keepLines w:val="0"/>
        <w:pageBreakBefore w:val="0"/>
        <w:widowControl/>
        <w:kinsoku/>
        <w:wordWrap/>
        <w:overflowPunct/>
        <w:topLinePunct w:val="0"/>
        <w:autoSpaceDE/>
        <w:autoSpaceDN/>
        <w:bidi w:val="0"/>
        <w:adjustRightInd w:val="0"/>
        <w:snapToGrid w:val="0"/>
        <w:spacing w:line="600" w:lineRule="exact"/>
        <w:ind w:leftChars="0" w:firstLine="640" w:firstLineChars="200"/>
        <w:jc w:val="both"/>
        <w:textAlignment w:val="auto"/>
        <w:rPr>
          <w:rFonts w:hint="eastAsia" w:ascii="仿宋_GB2312" w:hAnsi="仿宋_GB2312" w:eastAsia="仿宋_GB2312" w:cs="仿宋_GB2312"/>
          <w:color w:val="auto"/>
          <w:spacing w:val="0"/>
          <w:kern w:val="2"/>
          <w:sz w:val="32"/>
          <w:szCs w:val="32"/>
          <w:lang w:val="en-US" w:eastAsia="zh-CN" w:bidi="ar-SA"/>
        </w:rPr>
      </w:pPr>
      <w:r>
        <w:rPr>
          <w:rFonts w:hint="eastAsia" w:ascii="黑体" w:hAnsi="黑体" w:eastAsia="黑体" w:cs="黑体"/>
          <w:color w:val="auto"/>
          <w:spacing w:val="0"/>
          <w:kern w:val="2"/>
          <w:sz w:val="32"/>
          <w:szCs w:val="32"/>
          <w:lang w:val="en-US" w:eastAsia="zh-CN" w:bidi="ar-SA"/>
        </w:rPr>
        <w:t xml:space="preserve">第二十六条  </w:t>
      </w:r>
      <w:r>
        <w:rPr>
          <w:rFonts w:hint="eastAsia" w:ascii="仿宋_GB2312" w:hAnsi="仿宋_GB2312" w:eastAsia="仿宋_GB2312" w:cs="仿宋_GB2312"/>
          <w:color w:val="auto"/>
          <w:spacing w:val="0"/>
          <w:kern w:val="2"/>
          <w:sz w:val="32"/>
          <w:szCs w:val="32"/>
          <w:lang w:val="en-US" w:eastAsia="zh-CN" w:bidi="ar-SA"/>
        </w:rPr>
        <w:t>违反本条例第十九条第二款规定的，由文化或者退役军人事务</w:t>
      </w:r>
      <w:r>
        <w:rPr>
          <w:rFonts w:hint="eastAsia" w:ascii="仿宋_GB2312" w:hAnsi="仿宋_GB2312" w:cs="仿宋_GB2312"/>
          <w:color w:val="auto"/>
          <w:spacing w:val="0"/>
          <w:kern w:val="2"/>
          <w:sz w:val="32"/>
          <w:szCs w:val="32"/>
          <w:lang w:val="en-US" w:eastAsia="zh-CN" w:bidi="ar-SA"/>
        </w:rPr>
        <w:t>等</w:t>
      </w:r>
      <w:r>
        <w:rPr>
          <w:rFonts w:hint="eastAsia" w:ascii="仿宋_GB2312" w:hAnsi="仿宋_GB2312" w:eastAsia="仿宋_GB2312" w:cs="仿宋_GB2312"/>
          <w:color w:val="auto"/>
          <w:spacing w:val="0"/>
          <w:kern w:val="2"/>
          <w:sz w:val="32"/>
          <w:szCs w:val="32"/>
          <w:lang w:val="en-US" w:eastAsia="zh-CN" w:bidi="ar-SA"/>
        </w:rPr>
        <w:t>主管部门给予批评教育、责令改正；有违反治安管理行为的，由公安机关依法给予处罚。</w:t>
      </w:r>
    </w:p>
    <w:p>
      <w:pPr>
        <w:pStyle w:val="9"/>
        <w:keepNext w:val="0"/>
        <w:keepLines w:val="0"/>
        <w:pageBreakBefore w:val="0"/>
        <w:widowControl/>
        <w:kinsoku/>
        <w:wordWrap/>
        <w:overflowPunct/>
        <w:topLinePunct w:val="0"/>
        <w:autoSpaceDE/>
        <w:autoSpaceDN/>
        <w:bidi w:val="0"/>
        <w:adjustRightInd w:val="0"/>
        <w:snapToGrid w:val="0"/>
        <w:spacing w:line="600" w:lineRule="exact"/>
        <w:ind w:leftChars="0" w:firstLine="640" w:firstLineChars="200"/>
        <w:jc w:val="both"/>
        <w:textAlignment w:val="auto"/>
        <w:rPr>
          <w:rFonts w:hint="eastAsia" w:ascii="仿宋_GB2312" w:hAnsi="仿宋_GB2312" w:eastAsia="仿宋_GB2312" w:cs="仿宋_GB2312"/>
          <w:color w:val="auto"/>
          <w:spacing w:val="0"/>
          <w:sz w:val="32"/>
          <w:szCs w:val="32"/>
          <w:lang w:eastAsia="zh-CN"/>
        </w:rPr>
      </w:pPr>
      <w:r>
        <w:rPr>
          <w:rFonts w:hint="eastAsia" w:ascii="黑体" w:hAnsi="黑体" w:eastAsia="黑体" w:cs="黑体"/>
          <w:color w:val="auto"/>
          <w:spacing w:val="0"/>
          <w:kern w:val="2"/>
          <w:sz w:val="32"/>
          <w:szCs w:val="32"/>
          <w:lang w:val="en-US" w:eastAsia="zh-CN" w:bidi="ar-SA"/>
        </w:rPr>
        <w:t xml:space="preserve">第二十七条  </w:t>
      </w:r>
      <w:r>
        <w:rPr>
          <w:rFonts w:hint="eastAsia" w:ascii="仿宋_GB2312" w:hAnsi="仿宋_GB2312" w:eastAsia="仿宋_GB2312" w:cs="仿宋_GB2312"/>
          <w:color w:val="auto"/>
          <w:spacing w:val="0"/>
          <w:sz w:val="32"/>
          <w:szCs w:val="32"/>
          <w:lang w:eastAsia="zh-CN"/>
        </w:rPr>
        <w:t>相关主管部门及其工作人员违反本条例规定，玩忽职守、滥用职权、徇私舞弊，尚不构成犯罪的，对直接负责的主管人员和其他直接责任人员依法给予处分。</w:t>
      </w:r>
    </w:p>
    <w:p>
      <w:pPr>
        <w:pStyle w:val="9"/>
        <w:keepNext w:val="0"/>
        <w:keepLines w:val="0"/>
        <w:pageBreakBefore w:val="0"/>
        <w:widowControl/>
        <w:kinsoku/>
        <w:wordWrap/>
        <w:overflowPunct/>
        <w:topLinePunct w:val="0"/>
        <w:autoSpaceDE/>
        <w:autoSpaceDN/>
        <w:bidi w:val="0"/>
        <w:adjustRightInd w:val="0"/>
        <w:snapToGrid w:val="0"/>
        <w:spacing w:line="600" w:lineRule="exact"/>
        <w:ind w:leftChars="0" w:firstLine="640" w:firstLineChars="200"/>
        <w:jc w:val="both"/>
        <w:textAlignment w:val="auto"/>
        <w:rPr>
          <w:rFonts w:hint="eastAsia" w:ascii="仿宋_GB2312" w:hAnsi="仿宋_GB2312" w:eastAsia="仿宋_GB2312" w:cs="仿宋_GB2312"/>
          <w:color w:val="auto"/>
          <w:spacing w:val="0"/>
          <w:sz w:val="32"/>
          <w:szCs w:val="32"/>
        </w:rPr>
      </w:pPr>
      <w:r>
        <w:rPr>
          <w:rFonts w:hint="eastAsia" w:ascii="黑体" w:hAnsi="黑体" w:eastAsia="黑体" w:cs="黑体"/>
          <w:color w:val="auto"/>
          <w:spacing w:val="0"/>
          <w:kern w:val="2"/>
          <w:sz w:val="32"/>
          <w:szCs w:val="32"/>
          <w:lang w:val="en-US" w:eastAsia="zh-CN" w:bidi="ar-SA"/>
        </w:rPr>
        <w:t xml:space="preserve">第二十八条  </w:t>
      </w:r>
      <w:r>
        <w:rPr>
          <w:rFonts w:hint="eastAsia" w:ascii="仿宋_GB2312" w:hAnsi="仿宋_GB2312" w:eastAsia="仿宋_GB2312" w:cs="仿宋_GB2312"/>
          <w:color w:val="auto"/>
          <w:spacing w:val="0"/>
          <w:kern w:val="2"/>
          <w:sz w:val="32"/>
          <w:szCs w:val="32"/>
          <w:lang w:val="en-US" w:eastAsia="zh-CN" w:bidi="ar-SA"/>
        </w:rPr>
        <w:t>违反本条例规定的其他行为，法律、法规有处罚规定的，从其规定。</w:t>
      </w:r>
    </w:p>
    <w:p>
      <w:pPr>
        <w:pStyle w:val="9"/>
        <w:keepNext w:val="0"/>
        <w:keepLines w:val="0"/>
        <w:pageBreakBefore w:val="0"/>
        <w:widowControl/>
        <w:kinsoku/>
        <w:wordWrap/>
        <w:overflowPunct/>
        <w:topLinePunct w:val="0"/>
        <w:autoSpaceDE/>
        <w:autoSpaceDN/>
        <w:bidi w:val="0"/>
        <w:adjustRightInd w:val="0"/>
        <w:snapToGrid w:val="0"/>
        <w:spacing w:line="600" w:lineRule="exact"/>
        <w:textAlignment w:val="auto"/>
        <w:rPr>
          <w:rFonts w:hint="eastAsia" w:ascii="仿宋_GB2312" w:hAnsi="仿宋_GB2312" w:eastAsia="仿宋_GB2312" w:cs="仿宋_GB2312"/>
          <w:color w:val="auto"/>
          <w:spacing w:val="0"/>
          <w:sz w:val="32"/>
          <w:szCs w:val="32"/>
        </w:rPr>
      </w:pPr>
    </w:p>
    <w:p>
      <w:pPr>
        <w:pStyle w:val="9"/>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leftChars="0"/>
        <w:jc w:val="center"/>
        <w:textAlignment w:val="auto"/>
        <w:rPr>
          <w:rFonts w:hint="eastAsia" w:ascii="黑体" w:hAnsi="黑体" w:eastAsia="黑体" w:cs="黑体"/>
          <w:b w:val="0"/>
          <w:bCs w:val="0"/>
          <w:color w:val="auto"/>
          <w:spacing w:val="0"/>
          <w:kern w:val="2"/>
          <w:sz w:val="32"/>
          <w:szCs w:val="32"/>
          <w:lang w:val="en-US" w:eastAsia="zh-CN" w:bidi="ar-SA"/>
        </w:rPr>
      </w:pPr>
      <w:r>
        <w:rPr>
          <w:rFonts w:hint="eastAsia" w:ascii="黑体" w:hAnsi="黑体" w:eastAsia="黑体" w:cs="黑体"/>
          <w:b w:val="0"/>
          <w:bCs w:val="0"/>
          <w:color w:val="auto"/>
          <w:spacing w:val="0"/>
          <w:kern w:val="2"/>
          <w:sz w:val="32"/>
          <w:szCs w:val="32"/>
          <w:lang w:val="en-US" w:eastAsia="zh-CN" w:bidi="ar-SA"/>
        </w:rPr>
        <w:t>第</w:t>
      </w:r>
      <w:r>
        <w:rPr>
          <w:rFonts w:hint="eastAsia" w:ascii="黑体" w:hAnsi="黑体" w:eastAsia="黑体" w:cs="黑体"/>
          <w:color w:val="auto"/>
          <w:spacing w:val="0"/>
          <w:kern w:val="2"/>
          <w:sz w:val="32"/>
          <w:szCs w:val="32"/>
          <w:lang w:val="en-US" w:eastAsia="zh-CN" w:bidi="ar-SA"/>
        </w:rPr>
        <w:t>五</w:t>
      </w:r>
      <w:r>
        <w:rPr>
          <w:rFonts w:hint="eastAsia" w:ascii="黑体" w:hAnsi="黑体" w:eastAsia="黑体" w:cs="黑体"/>
          <w:b w:val="0"/>
          <w:bCs w:val="0"/>
          <w:color w:val="auto"/>
          <w:spacing w:val="0"/>
          <w:kern w:val="2"/>
          <w:sz w:val="32"/>
          <w:szCs w:val="32"/>
          <w:lang w:val="en-US" w:eastAsia="zh-CN" w:bidi="ar-SA"/>
        </w:rPr>
        <w:t>章  附  则</w:t>
      </w:r>
    </w:p>
    <w:p>
      <w:pPr>
        <w:pStyle w:val="9"/>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leftChars="0"/>
        <w:jc w:val="both"/>
        <w:textAlignment w:val="auto"/>
        <w:rPr>
          <w:rFonts w:hint="eastAsia" w:ascii="仿宋_GB2312" w:hAnsi="仿宋_GB2312" w:eastAsia="仿宋_GB2312" w:cs="仿宋_GB2312"/>
          <w:b/>
          <w:bCs/>
          <w:color w:val="auto"/>
          <w:spacing w:val="0"/>
          <w:sz w:val="32"/>
          <w:szCs w:val="32"/>
          <w:lang w:val="en-US" w:eastAsia="zh-CN"/>
        </w:rPr>
      </w:pPr>
    </w:p>
    <w:p>
      <w:pPr>
        <w:pStyle w:val="9"/>
        <w:keepNext w:val="0"/>
        <w:keepLines w:val="0"/>
        <w:pageBreakBefore w:val="0"/>
        <w:widowControl/>
        <w:kinsoku/>
        <w:wordWrap/>
        <w:overflowPunct/>
        <w:topLinePunct w:val="0"/>
        <w:autoSpaceDE/>
        <w:autoSpaceDN/>
        <w:bidi w:val="0"/>
        <w:adjustRightInd w:val="0"/>
        <w:snapToGrid w:val="0"/>
        <w:spacing w:line="600" w:lineRule="exact"/>
        <w:ind w:leftChars="0" w:firstLine="640" w:firstLineChars="200"/>
        <w:textAlignment w:val="auto"/>
        <w:rPr>
          <w:rFonts w:hint="eastAsia" w:ascii="仿宋_GB2312" w:hAnsi="仿宋_GB2312" w:eastAsia="仿宋_GB2312" w:cs="仿宋_GB2312"/>
          <w:color w:val="auto"/>
          <w:spacing w:val="0"/>
          <w:kern w:val="2"/>
          <w:sz w:val="32"/>
          <w:szCs w:val="32"/>
          <w:lang w:val="en-US" w:eastAsia="zh-CN" w:bidi="ar-SA"/>
        </w:rPr>
      </w:pPr>
      <w:r>
        <w:rPr>
          <w:rFonts w:hint="eastAsia" w:ascii="黑体" w:hAnsi="黑体" w:eastAsia="黑体" w:cs="黑体"/>
          <w:color w:val="auto"/>
          <w:spacing w:val="0"/>
          <w:kern w:val="2"/>
          <w:sz w:val="32"/>
          <w:szCs w:val="32"/>
          <w:lang w:val="en-US" w:eastAsia="zh-CN" w:bidi="ar-SA"/>
        </w:rPr>
        <w:t xml:space="preserve">第二十九条  </w:t>
      </w:r>
      <w:r>
        <w:rPr>
          <w:rFonts w:hint="eastAsia" w:ascii="仿宋_GB2312" w:hAnsi="仿宋_GB2312" w:eastAsia="仿宋_GB2312" w:cs="仿宋_GB2312"/>
          <w:color w:val="auto"/>
          <w:spacing w:val="0"/>
          <w:kern w:val="2"/>
          <w:sz w:val="32"/>
          <w:szCs w:val="32"/>
          <w:lang w:val="en-US" w:eastAsia="zh-CN" w:bidi="ar-SA"/>
        </w:rPr>
        <w:t>法律法规对红色遗址遗迹中涉及文物、历史建筑和烈士纪念设施的保护另有规定的，从其规定。</w:t>
      </w:r>
    </w:p>
    <w:p>
      <w:pPr>
        <w:pStyle w:val="9"/>
        <w:keepNext w:val="0"/>
        <w:keepLines w:val="0"/>
        <w:pageBreakBefore w:val="0"/>
        <w:widowControl/>
        <w:kinsoku/>
        <w:wordWrap/>
        <w:overflowPunct/>
        <w:topLinePunct w:val="0"/>
        <w:autoSpaceDE/>
        <w:autoSpaceDN/>
        <w:bidi w:val="0"/>
        <w:adjustRightInd w:val="0"/>
        <w:snapToGrid w:val="0"/>
        <w:spacing w:line="600" w:lineRule="exact"/>
        <w:ind w:leftChars="0" w:firstLine="640" w:firstLineChars="200"/>
        <w:textAlignment w:val="auto"/>
        <w:rPr>
          <w:rFonts w:hint="eastAsia" w:ascii="仿宋_GB2312" w:hAnsi="仿宋_GB2312" w:eastAsia="仿宋_GB2312" w:cs="仿宋_GB2312"/>
          <w:color w:val="auto"/>
          <w:spacing w:val="0"/>
          <w:sz w:val="32"/>
          <w:szCs w:val="32"/>
          <w:lang w:eastAsia="zh-CN"/>
        </w:rPr>
      </w:pPr>
      <w:r>
        <w:rPr>
          <w:rFonts w:hint="eastAsia" w:ascii="黑体" w:hAnsi="黑体" w:eastAsia="黑体" w:cs="黑体"/>
          <w:color w:val="auto"/>
          <w:spacing w:val="0"/>
          <w:kern w:val="2"/>
          <w:sz w:val="32"/>
          <w:szCs w:val="32"/>
          <w:lang w:val="en-US" w:eastAsia="zh-CN" w:bidi="ar-SA"/>
        </w:rPr>
        <w:t xml:space="preserve">第三十条  </w:t>
      </w:r>
      <w:r>
        <w:rPr>
          <w:rFonts w:hint="eastAsia" w:ascii="仿宋_GB2312" w:hAnsi="仿宋_GB2312" w:eastAsia="仿宋_GB2312" w:cs="仿宋_GB2312"/>
          <w:color w:val="auto"/>
          <w:spacing w:val="0"/>
          <w:sz w:val="32"/>
          <w:szCs w:val="32"/>
        </w:rPr>
        <w:t>本条例自</w:t>
      </w:r>
      <w:r>
        <w:rPr>
          <w:rFonts w:hint="eastAsia" w:ascii="仿宋_GB2312" w:hAnsi="仿宋_GB2312" w:cs="仿宋_GB2312"/>
          <w:color w:val="auto"/>
          <w:spacing w:val="0"/>
          <w:sz w:val="32"/>
          <w:szCs w:val="32"/>
          <w:lang w:val="en-US" w:eastAsia="zh-CN"/>
        </w:rPr>
        <w:t xml:space="preserve">  </w:t>
      </w:r>
      <w:r>
        <w:rPr>
          <w:rFonts w:hint="eastAsia" w:ascii="仿宋_GB2312" w:hAnsi="仿宋_GB2312" w:eastAsia="仿宋_GB2312" w:cs="仿宋_GB2312"/>
          <w:color w:val="auto"/>
          <w:spacing w:val="0"/>
          <w:sz w:val="32"/>
          <w:szCs w:val="32"/>
        </w:rPr>
        <w:t>年</w:t>
      </w:r>
      <w:r>
        <w:rPr>
          <w:rFonts w:hint="eastAsia" w:ascii="仿宋_GB2312" w:hAnsi="仿宋_GB2312" w:cs="仿宋_GB2312"/>
          <w:color w:val="auto"/>
          <w:spacing w:val="0"/>
          <w:sz w:val="32"/>
          <w:szCs w:val="32"/>
          <w:lang w:val="en-US" w:eastAsia="zh-CN"/>
        </w:rPr>
        <w:t xml:space="preserve">  </w:t>
      </w:r>
      <w:r>
        <w:rPr>
          <w:rFonts w:hint="eastAsia" w:ascii="仿宋_GB2312" w:hAnsi="仿宋_GB2312" w:eastAsia="仿宋_GB2312" w:cs="仿宋_GB2312"/>
          <w:color w:val="auto"/>
          <w:spacing w:val="0"/>
          <w:sz w:val="32"/>
          <w:szCs w:val="32"/>
        </w:rPr>
        <w:t>月</w:t>
      </w:r>
      <w:r>
        <w:rPr>
          <w:rFonts w:hint="eastAsia" w:ascii="仿宋_GB2312" w:hAnsi="仿宋_GB2312" w:cs="仿宋_GB2312"/>
          <w:color w:val="auto"/>
          <w:spacing w:val="0"/>
          <w:sz w:val="32"/>
          <w:szCs w:val="32"/>
          <w:lang w:val="en-US" w:eastAsia="zh-CN"/>
        </w:rPr>
        <w:t xml:space="preserve">  </w:t>
      </w:r>
      <w:r>
        <w:rPr>
          <w:rFonts w:hint="eastAsia" w:ascii="仿宋_GB2312" w:hAnsi="仿宋_GB2312" w:eastAsia="仿宋_GB2312" w:cs="仿宋_GB2312"/>
          <w:color w:val="auto"/>
          <w:spacing w:val="0"/>
          <w:sz w:val="32"/>
          <w:szCs w:val="32"/>
        </w:rPr>
        <w:t>日起施行</w:t>
      </w:r>
      <w:r>
        <w:rPr>
          <w:rFonts w:hint="eastAsia" w:ascii="仿宋_GB2312" w:hAnsi="仿宋_GB2312" w:eastAsia="仿宋_GB2312" w:cs="仿宋_GB2312"/>
          <w:color w:val="auto"/>
          <w:spacing w:val="0"/>
          <w:sz w:val="32"/>
          <w:szCs w:val="32"/>
          <w:lang w:eastAsia="zh-CN"/>
        </w:rPr>
        <w:t>。</w:t>
      </w:r>
    </w:p>
    <w:p>
      <w:pPr>
        <w:pStyle w:val="9"/>
        <w:keepNext w:val="0"/>
        <w:keepLines w:val="0"/>
        <w:pageBreakBefore w:val="0"/>
        <w:widowControl/>
        <w:kinsoku/>
        <w:wordWrap/>
        <w:overflowPunct/>
        <w:topLinePunct w:val="0"/>
        <w:autoSpaceDE/>
        <w:autoSpaceDN/>
        <w:bidi w:val="0"/>
        <w:adjustRightInd w:val="0"/>
        <w:snapToGrid w:val="0"/>
        <w:spacing w:line="600" w:lineRule="exact"/>
        <w:ind w:leftChars="0" w:firstLine="640" w:firstLineChars="200"/>
        <w:textAlignment w:val="auto"/>
        <w:rPr>
          <w:rFonts w:hint="eastAsia" w:ascii="仿宋_GB2312" w:hAnsi="仿宋_GB2312" w:eastAsia="仿宋_GB2312" w:cs="仿宋_GB2312"/>
          <w:color w:val="auto"/>
          <w:spacing w:val="0"/>
          <w:sz w:val="32"/>
          <w:szCs w:val="32"/>
          <w:lang w:eastAsia="zh-CN"/>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粗倩简体">
    <w:panose1 w:val="03000509000000000000"/>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ESI黑体-GB2312">
    <w:altName w:val="黑体"/>
    <w:panose1 w:val="02000500000000000000"/>
    <w:charset w:val="86"/>
    <w:family w:val="auto"/>
    <w:pitch w:val="default"/>
    <w:sig w:usb0="00000000" w:usb1="00000000" w:usb2="00000012"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0"/>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ZlYTgxYWU0MWQ0NWM5MTlhMjBiNGI5YWZkNDIzNDQifQ=="/>
  </w:docVars>
  <w:rsids>
    <w:rsidRoot w:val="00000000"/>
    <w:rsid w:val="01904DF1"/>
    <w:rsid w:val="0446062A"/>
    <w:rsid w:val="055852F7"/>
    <w:rsid w:val="07F1006B"/>
    <w:rsid w:val="092D75B8"/>
    <w:rsid w:val="09F61CE1"/>
    <w:rsid w:val="0A477A23"/>
    <w:rsid w:val="0B8E4342"/>
    <w:rsid w:val="0D3F749F"/>
    <w:rsid w:val="0EC60901"/>
    <w:rsid w:val="19C1482B"/>
    <w:rsid w:val="1B9219AE"/>
    <w:rsid w:val="1D241001"/>
    <w:rsid w:val="1DA042F4"/>
    <w:rsid w:val="20C76EAB"/>
    <w:rsid w:val="20F8115B"/>
    <w:rsid w:val="2194614E"/>
    <w:rsid w:val="225178E3"/>
    <w:rsid w:val="244F0F9E"/>
    <w:rsid w:val="27991799"/>
    <w:rsid w:val="2A7C6607"/>
    <w:rsid w:val="2BB25287"/>
    <w:rsid w:val="2DFDE879"/>
    <w:rsid w:val="2E0208B8"/>
    <w:rsid w:val="2F5A1B60"/>
    <w:rsid w:val="2FADE998"/>
    <w:rsid w:val="30A813AA"/>
    <w:rsid w:val="327E0D94"/>
    <w:rsid w:val="33ED6ADF"/>
    <w:rsid w:val="34FD1422"/>
    <w:rsid w:val="35F77E16"/>
    <w:rsid w:val="39B435BD"/>
    <w:rsid w:val="3A5D56A7"/>
    <w:rsid w:val="415335F4"/>
    <w:rsid w:val="476641D6"/>
    <w:rsid w:val="484A0A80"/>
    <w:rsid w:val="49EF4CFA"/>
    <w:rsid w:val="4A334F11"/>
    <w:rsid w:val="51150E2C"/>
    <w:rsid w:val="51FA6661"/>
    <w:rsid w:val="52E607AF"/>
    <w:rsid w:val="56FC3914"/>
    <w:rsid w:val="5B4A2718"/>
    <w:rsid w:val="5C370132"/>
    <w:rsid w:val="5F65ACFA"/>
    <w:rsid w:val="63F92DE7"/>
    <w:rsid w:val="662D1267"/>
    <w:rsid w:val="684B3C82"/>
    <w:rsid w:val="6D832352"/>
    <w:rsid w:val="6F7F6B8A"/>
    <w:rsid w:val="70EF740A"/>
    <w:rsid w:val="75410BE1"/>
    <w:rsid w:val="759C0571"/>
    <w:rsid w:val="75D165F1"/>
    <w:rsid w:val="772D5837"/>
    <w:rsid w:val="794648F5"/>
    <w:rsid w:val="79CF3FF7"/>
    <w:rsid w:val="79FC263C"/>
    <w:rsid w:val="7AC95F76"/>
    <w:rsid w:val="7B267985"/>
    <w:rsid w:val="7D7B4935"/>
    <w:rsid w:val="7F565ED6"/>
    <w:rsid w:val="7FA5159C"/>
    <w:rsid w:val="7FEFF491"/>
    <w:rsid w:val="9FEF49A5"/>
    <w:rsid w:val="CB7F997A"/>
    <w:rsid w:val="CCFF9CAD"/>
    <w:rsid w:val="D7F5DE75"/>
    <w:rsid w:val="DDF731D1"/>
    <w:rsid w:val="E51F2522"/>
    <w:rsid w:val="EFCE83AD"/>
    <w:rsid w:val="F5DD7D31"/>
    <w:rsid w:val="FBD52B7B"/>
    <w:rsid w:val="FFF1DC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99"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imes New Roman" w:eastAsia="仿宋_GB2312" w:cs="Times New Roman"/>
      <w:kern w:val="2"/>
      <w:sz w:val="32"/>
      <w:szCs w:val="32"/>
      <w:lang w:val="en-US" w:eastAsia="zh-CN" w:bidi="ar-SA"/>
    </w:rPr>
  </w:style>
  <w:style w:type="paragraph" w:styleId="4">
    <w:name w:val="heading 1"/>
    <w:basedOn w:val="1"/>
    <w:next w:val="5"/>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5">
    <w:name w:val="heading 2"/>
    <w:basedOn w:val="1"/>
    <w:next w:val="6"/>
    <w:qFormat/>
    <w:uiPriority w:val="0"/>
    <w:pPr>
      <w:spacing w:before="100" w:beforeAutospacing="1" w:after="100" w:afterAutospacing="1"/>
      <w:jc w:val="left"/>
      <w:outlineLvl w:val="1"/>
    </w:pPr>
    <w:rPr>
      <w:rFonts w:hint="eastAsia" w:ascii="宋体" w:hAnsi="宋体" w:eastAsia="宋体" w:cs="宋体"/>
      <w:b/>
      <w:kern w:val="0"/>
      <w:sz w:val="36"/>
      <w:szCs w:val="36"/>
      <w:lang w:val="en-US" w:eastAsia="zh-CN" w:bidi="ar"/>
    </w:rPr>
  </w:style>
  <w:style w:type="paragraph" w:styleId="6">
    <w:name w:val="heading 3"/>
    <w:basedOn w:val="1"/>
    <w:next w:val="1"/>
    <w:qFormat/>
    <w:uiPriority w:val="0"/>
    <w:pPr>
      <w:spacing w:before="100" w:beforeAutospacing="1" w:after="100" w:afterAutospacing="1"/>
      <w:jc w:val="left"/>
      <w:outlineLvl w:val="2"/>
    </w:pPr>
    <w:rPr>
      <w:rFonts w:hint="eastAsia" w:ascii="宋体" w:hAnsi="宋体" w:eastAsia="宋体" w:cs="宋体"/>
      <w:b/>
      <w:kern w:val="0"/>
      <w:sz w:val="27"/>
      <w:szCs w:val="27"/>
      <w:lang w:val="en-US" w:eastAsia="zh-CN" w:bidi="ar"/>
    </w:r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Title"/>
    <w:basedOn w:val="1"/>
    <w:next w:val="3"/>
    <w:qFormat/>
    <w:uiPriority w:val="0"/>
    <w:pPr>
      <w:spacing w:before="240" w:after="60"/>
      <w:jc w:val="center"/>
      <w:outlineLvl w:val="0"/>
    </w:pPr>
    <w:rPr>
      <w:rFonts w:ascii="Cambria" w:hAnsi="Cambria" w:cs="黑体"/>
      <w:b/>
      <w:bCs/>
      <w:sz w:val="32"/>
      <w:szCs w:val="32"/>
    </w:rPr>
  </w:style>
  <w:style w:type="paragraph" w:customStyle="1" w:styleId="3">
    <w:name w:val="文章副标题"/>
    <w:basedOn w:val="1"/>
    <w:next w:val="4"/>
    <w:qFormat/>
    <w:uiPriority w:val="0"/>
    <w:pPr>
      <w:spacing w:before="104" w:beforeLines="0" w:after="104" w:afterLines="0" w:line="0" w:lineRule="atLeast"/>
      <w:ind w:firstLine="0" w:firstLineChars="0"/>
      <w:jc w:val="center"/>
    </w:pPr>
    <w:rPr>
      <w:sz w:val="36"/>
    </w:rPr>
  </w:style>
  <w:style w:type="paragraph" w:styleId="7">
    <w:name w:val="Salutation"/>
    <w:basedOn w:val="1"/>
    <w:next w:val="1"/>
    <w:qFormat/>
    <w:uiPriority w:val="99"/>
    <w:rPr>
      <w:rFonts w:ascii="Times New Roman" w:hAnsi="Times New Roman"/>
    </w:rPr>
  </w:style>
  <w:style w:type="paragraph" w:styleId="8">
    <w:name w:val="Body Text Indent"/>
    <w:basedOn w:val="1"/>
    <w:qFormat/>
    <w:uiPriority w:val="0"/>
    <w:pPr>
      <w:spacing w:after="120"/>
      <w:ind w:left="420" w:leftChars="200"/>
    </w:pPr>
  </w:style>
  <w:style w:type="paragraph" w:styleId="9">
    <w:name w:val="Plain Text"/>
    <w:basedOn w:val="1"/>
    <w:qFormat/>
    <w:uiPriority w:val="0"/>
    <w:rPr>
      <w:rFonts w:ascii="宋体" w:hAnsi="Courier New" w:cs="Courier New"/>
      <w:szCs w:val="21"/>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index 9"/>
    <w:basedOn w:val="1"/>
    <w:next w:val="1"/>
    <w:qFormat/>
    <w:uiPriority w:val="0"/>
    <w:pPr>
      <w:ind w:left="1600" w:leftChars="1600"/>
    </w:pPr>
    <w:rPr>
      <w:rFonts w:ascii="Times New Roman" w:hAnsi="Times New Roman" w:eastAsia="宋体" w:cs="Times New Roman"/>
    </w:rPr>
  </w:style>
  <w:style w:type="paragraph" w:styleId="13">
    <w:name w:val="Normal (Web)"/>
    <w:basedOn w:val="1"/>
    <w:next w:val="12"/>
    <w:qFormat/>
    <w:uiPriority w:val="0"/>
    <w:pPr>
      <w:spacing w:before="100" w:beforeAutospacing="1" w:after="100" w:afterAutospacing="1"/>
      <w:ind w:left="0" w:right="0"/>
      <w:jc w:val="left"/>
    </w:pPr>
    <w:rPr>
      <w:kern w:val="0"/>
      <w:sz w:val="24"/>
      <w:lang w:val="en-US" w:eastAsia="zh-CN" w:bidi="ar"/>
    </w:rPr>
  </w:style>
  <w:style w:type="paragraph" w:styleId="14">
    <w:name w:val="Body Text First Indent 2"/>
    <w:basedOn w:val="8"/>
    <w:qFormat/>
    <w:uiPriority w:val="0"/>
    <w:pPr>
      <w:ind w:firstLine="420" w:firstLineChars="200"/>
    </w:pPr>
    <w:rPr>
      <w:rFonts w:ascii="Calibri" w:hAnsi="Calibri" w:eastAsia="宋体" w:cs="Times New Roman"/>
    </w:rPr>
  </w:style>
  <w:style w:type="paragraph" w:customStyle="1" w:styleId="17">
    <w:name w:val="正文-公1"/>
    <w:basedOn w:val="18"/>
    <w:next w:val="13"/>
    <w:qFormat/>
    <w:uiPriority w:val="0"/>
    <w:pPr>
      <w:widowControl w:val="0"/>
      <w:ind w:firstLine="200" w:firstLineChars="200"/>
      <w:jc w:val="both"/>
    </w:pPr>
    <w:rPr>
      <w:rFonts w:ascii="Times New Roman" w:hAnsi="Times New Roman" w:eastAsia="宋体" w:cs="Times New Roman"/>
      <w:color w:val="000000"/>
      <w:kern w:val="2"/>
      <w:sz w:val="21"/>
      <w:szCs w:val="22"/>
      <w:lang w:val="en-US" w:eastAsia="zh-CN" w:bidi="ar-SA"/>
    </w:rPr>
  </w:style>
  <w:style w:type="paragraph" w:customStyle="1" w:styleId="18">
    <w:name w:val="正文 New New New"/>
    <w:next w:val="17"/>
    <w:qFormat/>
    <w:uiPriority w:val="99"/>
    <w:pPr>
      <w:widowControl w:val="0"/>
      <w:jc w:val="both"/>
    </w:pPr>
    <w:rPr>
      <w:rFonts w:ascii="Calibri" w:hAnsi="Calibri" w:eastAsia="宋体" w:cs="黑体"/>
      <w:kern w:val="2"/>
      <w:sz w:val="21"/>
      <w:szCs w:val="24"/>
      <w:lang w:val="en-US" w:eastAsia="zh-CN" w:bidi="ar-SA"/>
    </w:rPr>
  </w:style>
  <w:style w:type="paragraph" w:customStyle="1" w:styleId="19">
    <w:name w:val="Body Text First Indent 21"/>
    <w:basedOn w:val="20"/>
    <w:qFormat/>
    <w:uiPriority w:val="0"/>
    <w:pPr>
      <w:ind w:firstLine="420" w:firstLineChars="200"/>
    </w:pPr>
  </w:style>
  <w:style w:type="paragraph" w:customStyle="1" w:styleId="20">
    <w:name w:val="Body Text Indent1"/>
    <w:basedOn w:val="21"/>
    <w:qFormat/>
    <w:uiPriority w:val="0"/>
    <w:pPr>
      <w:ind w:left="420" w:leftChars="200"/>
    </w:pPr>
  </w:style>
  <w:style w:type="paragraph" w:customStyle="1" w:styleId="21">
    <w:name w:val="正文 New New New New New New New New New New New New"/>
    <w:next w:val="19"/>
    <w:qFormat/>
    <w:uiPriority w:val="0"/>
    <w:pPr>
      <w:widowControl w:val="0"/>
      <w:jc w:val="both"/>
    </w:pPr>
    <w:rPr>
      <w:rFonts w:ascii="Calibri" w:hAnsi="Calibri" w:eastAsia="宋体" w:cs="方正粗倩简体"/>
      <w:kern w:val="2"/>
      <w:sz w:val="21"/>
      <w:lang w:val="en-US"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5204</Words>
  <Characters>5207</Characters>
  <Lines>0</Lines>
  <Paragraphs>0</Paragraphs>
  <TotalTime>37</TotalTime>
  <ScaleCrop>false</ScaleCrop>
  <LinksUpToDate>false</LinksUpToDate>
  <CharactersWithSpaces>5306</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2023-06-17T00:20:00Z</dcterms:created>
  <dc:creator>Administrator</dc:creator>
  <cp:lastModifiedBy>Administrator</cp:lastModifiedBy>
  <cp:lastPrinted>2023-09-28T07:55:59Z</cp:lastPrinted>
  <dcterms:modified xsi:type="dcterms:W3CDTF">2023-09-28T08:39:40Z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B3ECC649EF7F4A61A4187A44731137A1_12</vt:lpwstr>
  </property>
</Properties>
</file>