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25F4A">
      <w:pPr>
        <w:tabs>
          <w:tab w:val="left" w:pos="5129"/>
        </w:tabs>
        <w:bidi w:val="0"/>
        <w:jc w:val="left"/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474" w:bottom="1984" w:left="1474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 w14:paraId="60B9979D">
      <w:pPr>
        <w:jc w:val="left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eastAsia="黑体" w:cs="黑体"/>
          <w:b w:val="0"/>
          <w:bCs/>
          <w:color w:val="auto"/>
          <w:sz w:val="32"/>
          <w:szCs w:val="32"/>
          <w:lang w:val="en-US" w:eastAsia="zh-CN"/>
        </w:rPr>
        <w:t>：</w:t>
      </w:r>
    </w:p>
    <w:p w14:paraId="5D8A4F58">
      <w:pPr>
        <w:jc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贵州省盲人按摩机构规范化建设评分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表</w:t>
      </w:r>
    </w:p>
    <w:tbl>
      <w:tblPr>
        <w:tblStyle w:val="11"/>
        <w:tblW w:w="13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29"/>
        <w:gridCol w:w="2939"/>
        <w:gridCol w:w="4600"/>
        <w:gridCol w:w="793"/>
        <w:gridCol w:w="3510"/>
      </w:tblGrid>
      <w:tr w14:paraId="27674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  <w:jc w:val="center"/>
        </w:trPr>
        <w:tc>
          <w:tcPr>
            <w:tcW w:w="706" w:type="dxa"/>
            <w:noWrap w:val="0"/>
            <w:vAlign w:val="center"/>
          </w:tcPr>
          <w:p w14:paraId="4224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29" w:type="dxa"/>
            <w:noWrap w:val="0"/>
            <w:vAlign w:val="center"/>
          </w:tcPr>
          <w:p w14:paraId="61CB7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2939" w:type="dxa"/>
            <w:noWrap w:val="0"/>
            <w:vAlign w:val="center"/>
          </w:tcPr>
          <w:p w14:paraId="1917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指标及分值</w:t>
            </w:r>
          </w:p>
        </w:tc>
        <w:tc>
          <w:tcPr>
            <w:tcW w:w="4600" w:type="dxa"/>
            <w:noWrap w:val="0"/>
            <w:vAlign w:val="center"/>
          </w:tcPr>
          <w:p w14:paraId="1421C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量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分标准</w:t>
            </w:r>
          </w:p>
        </w:tc>
        <w:tc>
          <w:tcPr>
            <w:tcW w:w="793" w:type="dxa"/>
            <w:noWrap w:val="0"/>
            <w:vAlign w:val="center"/>
          </w:tcPr>
          <w:p w14:paraId="47F1D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3510" w:type="dxa"/>
            <w:noWrap w:val="0"/>
            <w:vAlign w:val="center"/>
          </w:tcPr>
          <w:p w14:paraId="1259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备注</w:t>
            </w:r>
          </w:p>
        </w:tc>
      </w:tr>
      <w:tr w14:paraId="280E6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06" w:type="dxa"/>
            <w:noWrap w:val="0"/>
            <w:vAlign w:val="center"/>
          </w:tcPr>
          <w:p w14:paraId="09674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vMerge w:val="restart"/>
            <w:noWrap w:val="0"/>
            <w:vAlign w:val="center"/>
          </w:tcPr>
          <w:p w14:paraId="3FF8B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机构</w:t>
            </w:r>
          </w:p>
          <w:p w14:paraId="0207C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资质</w:t>
            </w:r>
          </w:p>
          <w:p w14:paraId="657C00B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39" w:type="dxa"/>
            <w:noWrap w:val="0"/>
            <w:vAlign w:val="center"/>
          </w:tcPr>
          <w:p w14:paraId="0F082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具备市场监管部门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或民政、编办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颁发的合法经营证照。（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4C4EC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有（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），无（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793" w:type="dxa"/>
            <w:noWrap w:val="0"/>
            <w:vAlign w:val="center"/>
          </w:tcPr>
          <w:p w14:paraId="3DAD4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28BB9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此项为必备项，若不满足，则不得进行申报</w:t>
            </w:r>
          </w:p>
        </w:tc>
      </w:tr>
      <w:tr w14:paraId="65244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06" w:type="dxa"/>
            <w:noWrap w:val="0"/>
            <w:vAlign w:val="center"/>
          </w:tcPr>
          <w:p w14:paraId="22999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14DC6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1A018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经营范围与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批准范围相符。（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68023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完全相符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；部分相符但超出批准范围部分不包括需相关部门批准的药物经营、中医正骨和对身体有侵入性或创伤性的放血、针刺等项目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93" w:type="dxa"/>
            <w:noWrap w:val="0"/>
            <w:vAlign w:val="center"/>
          </w:tcPr>
          <w:p w14:paraId="7129A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5045D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经营范围超出批准范围部分包括需相关部门批准的药物经营、中医正骨和对身体有侵入性或创伤性的放血、针刺等项目视为非法经营，立即终止评审，并向相关部门反映。</w:t>
            </w:r>
          </w:p>
        </w:tc>
      </w:tr>
      <w:tr w14:paraId="0A3A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6" w:type="dxa"/>
            <w:noWrap w:val="0"/>
            <w:vAlign w:val="center"/>
          </w:tcPr>
          <w:p w14:paraId="330AF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22A6F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54D42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机构实际持续经营时间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年及以上。（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4600" w:type="dxa"/>
            <w:noWrap w:val="0"/>
            <w:vAlign w:val="center"/>
          </w:tcPr>
          <w:p w14:paraId="5442B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机构持续经营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年-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年（4分）；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年及以上（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分）。</w:t>
            </w:r>
          </w:p>
        </w:tc>
        <w:tc>
          <w:tcPr>
            <w:tcW w:w="793" w:type="dxa"/>
            <w:noWrap w:val="0"/>
            <w:vAlign w:val="center"/>
          </w:tcPr>
          <w:p w14:paraId="78889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2E7BE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从取得合法营业执照之日起算，截至申报之日止。</w:t>
            </w:r>
          </w:p>
        </w:tc>
      </w:tr>
      <w:tr w14:paraId="5E5A4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6" w:type="dxa"/>
            <w:noWrap w:val="0"/>
            <w:vAlign w:val="center"/>
          </w:tcPr>
          <w:p w14:paraId="256D2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483C9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23950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机构制度建设。（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32F1D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制度健全并上墙（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分）;制度缺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项扣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分，缺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项以上（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分）。</w:t>
            </w:r>
          </w:p>
        </w:tc>
        <w:tc>
          <w:tcPr>
            <w:tcW w:w="793" w:type="dxa"/>
            <w:noWrap w:val="0"/>
            <w:vAlign w:val="center"/>
          </w:tcPr>
          <w:p w14:paraId="5FEE7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043D3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机构制度包括安全制度、管理制度、卫生制度、价目表等</w:t>
            </w:r>
          </w:p>
        </w:tc>
      </w:tr>
      <w:tr w14:paraId="6BD2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6" w:type="dxa"/>
            <w:noWrap w:val="0"/>
            <w:vAlign w:val="center"/>
          </w:tcPr>
          <w:p w14:paraId="4483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761DC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29628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固定经营场所。（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1233F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有（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），无（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793" w:type="dxa"/>
            <w:noWrap w:val="0"/>
            <w:vAlign w:val="center"/>
          </w:tcPr>
          <w:p w14:paraId="05169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3CF47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需提供房屋产权证明或租赁合同</w:t>
            </w:r>
          </w:p>
        </w:tc>
      </w:tr>
      <w:tr w14:paraId="775D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6" w:type="dxa"/>
            <w:noWrap w:val="0"/>
            <w:vAlign w:val="center"/>
          </w:tcPr>
          <w:p w14:paraId="2BFC3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vMerge w:val="restart"/>
            <w:noWrap w:val="0"/>
            <w:vAlign w:val="center"/>
          </w:tcPr>
          <w:p w14:paraId="0BB8B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从业人员资质</w:t>
            </w:r>
          </w:p>
          <w:p w14:paraId="19027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39" w:type="dxa"/>
            <w:noWrap w:val="0"/>
            <w:vAlign w:val="center"/>
          </w:tcPr>
          <w:p w14:paraId="74A15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持盲人保健按摩初级及以上等级资格证人数。（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01FE0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分），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人及以上（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分），</w:t>
            </w:r>
          </w:p>
        </w:tc>
        <w:tc>
          <w:tcPr>
            <w:tcW w:w="793" w:type="dxa"/>
            <w:noWrap w:val="0"/>
            <w:vAlign w:val="center"/>
          </w:tcPr>
          <w:p w14:paraId="1497C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4D32B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此项为必须项，若不满足，则不得申报此标准对应类机构</w:t>
            </w:r>
          </w:p>
        </w:tc>
      </w:tr>
      <w:tr w14:paraId="739E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6" w:type="dxa"/>
            <w:noWrap w:val="0"/>
            <w:vAlign w:val="center"/>
          </w:tcPr>
          <w:p w14:paraId="275A7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2C1C0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6871C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持盲人医疗按摩从业资格证人数。（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26931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每1名按摩师持证得1分，累计得分不超过3分</w:t>
            </w:r>
          </w:p>
        </w:tc>
        <w:tc>
          <w:tcPr>
            <w:tcW w:w="793" w:type="dxa"/>
            <w:noWrap w:val="0"/>
            <w:vAlign w:val="center"/>
          </w:tcPr>
          <w:p w14:paraId="23714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5596C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此项为必须项，若不满足，则不得申报此标准对应类机构</w:t>
            </w:r>
          </w:p>
        </w:tc>
      </w:tr>
      <w:tr w14:paraId="36E4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6" w:type="dxa"/>
            <w:noWrap w:val="0"/>
            <w:vAlign w:val="center"/>
          </w:tcPr>
          <w:p w14:paraId="270D3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4A472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49F38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持盲人保健按摩中级及以上等级资格证人数。（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44B65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人（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分），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人（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分），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人及以上（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分），</w:t>
            </w:r>
          </w:p>
        </w:tc>
        <w:tc>
          <w:tcPr>
            <w:tcW w:w="793" w:type="dxa"/>
            <w:noWrap w:val="0"/>
            <w:vAlign w:val="center"/>
          </w:tcPr>
          <w:p w14:paraId="03F80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54013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此项为必须项，若不满足，则不得申报此标准对应类机构</w:t>
            </w:r>
          </w:p>
        </w:tc>
      </w:tr>
      <w:tr w14:paraId="6F51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06" w:type="dxa"/>
            <w:noWrap w:val="0"/>
            <w:vAlign w:val="center"/>
          </w:tcPr>
          <w:p w14:paraId="119D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28B90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63A2A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持盲人保健按摩高级及以上等级资格证人数。（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6FF63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每1名按摩师持证得1分，累计得分不超过2分</w:t>
            </w:r>
          </w:p>
        </w:tc>
        <w:tc>
          <w:tcPr>
            <w:tcW w:w="793" w:type="dxa"/>
            <w:noWrap w:val="0"/>
            <w:vAlign w:val="center"/>
          </w:tcPr>
          <w:p w14:paraId="2FEE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48EA0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此项为必须项，若不满足，则不得申报此标准对应类机构</w:t>
            </w:r>
          </w:p>
        </w:tc>
      </w:tr>
      <w:tr w14:paraId="034A8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6" w:type="dxa"/>
            <w:noWrap w:val="0"/>
            <w:vAlign w:val="center"/>
          </w:tcPr>
          <w:p w14:paraId="6A306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75AD6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6CA5D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盲人按摩师培训情况。（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5ECDC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每名盲人按摩师每三年至少参加一次技能培训（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），</w:t>
            </w:r>
          </w:p>
          <w:p w14:paraId="66F44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每名盲人按摩师每两年至少参加一次技能培训（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3" w:type="dxa"/>
            <w:noWrap w:val="0"/>
            <w:vAlign w:val="center"/>
          </w:tcPr>
          <w:p w14:paraId="439B9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153F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38A3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6" w:type="dxa"/>
            <w:noWrap w:val="0"/>
            <w:vAlign w:val="center"/>
          </w:tcPr>
          <w:p w14:paraId="14D2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29890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58F24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机构内所有服务人员身体健康状况良好。（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6837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全员持有有效健康合格证（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）；每有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人未持证扣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分，扣完此项分值为止。</w:t>
            </w:r>
          </w:p>
        </w:tc>
        <w:tc>
          <w:tcPr>
            <w:tcW w:w="793" w:type="dxa"/>
            <w:noWrap w:val="0"/>
            <w:vAlign w:val="center"/>
          </w:tcPr>
          <w:p w14:paraId="34185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4075F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0C5A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50F4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vMerge w:val="restart"/>
            <w:noWrap w:val="0"/>
            <w:vAlign w:val="center"/>
          </w:tcPr>
          <w:p w14:paraId="1CFD5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机构环境设施情况</w:t>
            </w:r>
          </w:p>
          <w:p w14:paraId="3077E36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39" w:type="dxa"/>
            <w:noWrap w:val="0"/>
            <w:vAlign w:val="center"/>
          </w:tcPr>
          <w:p w14:paraId="7F7FF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划分出接待区、服务区、卫生区、员工休息区等功能区以满足服务需要。（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620E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功能区完善（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）；功能区不完善但基本能满足经营需要（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）；区域功能混杂影响服务质量（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793" w:type="dxa"/>
            <w:noWrap w:val="0"/>
            <w:vAlign w:val="center"/>
          </w:tcPr>
          <w:p w14:paraId="625FF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0B666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根据现场情况酌情量分。</w:t>
            </w:r>
          </w:p>
        </w:tc>
      </w:tr>
      <w:tr w14:paraId="5E41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10702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2F29E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09D4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具备与功能区和经营需要相配套的营业面积。（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778C8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㎡至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㎡（不含）（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分），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㎡至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㎡（不含）（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分），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㎡及以上（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分）。</w:t>
            </w:r>
          </w:p>
        </w:tc>
        <w:tc>
          <w:tcPr>
            <w:tcW w:w="793" w:type="dxa"/>
            <w:noWrap w:val="0"/>
            <w:vAlign w:val="center"/>
          </w:tcPr>
          <w:p w14:paraId="24874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09BB7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以租赁合同或房屋产权证明所载面积为基础，结合实际进行计算。</w:t>
            </w:r>
          </w:p>
        </w:tc>
      </w:tr>
      <w:tr w14:paraId="7806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706" w:type="dxa"/>
            <w:noWrap w:val="0"/>
            <w:vAlign w:val="center"/>
          </w:tcPr>
          <w:p w14:paraId="5520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332D7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69FD8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装修装饰环保、整洁、优美，有无障碍设施设备。（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0B453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通风良好，室内空气无毒、无害、无异味、环境整洁优美，有无障碍设施设备（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）；环境脏乱差（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793" w:type="dxa"/>
            <w:noWrap w:val="0"/>
            <w:vAlign w:val="center"/>
          </w:tcPr>
          <w:p w14:paraId="7B1DF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7805A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根据现场情况酌情量分。</w:t>
            </w:r>
          </w:p>
        </w:tc>
      </w:tr>
      <w:tr w14:paraId="385D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6FE7C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76A06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14381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有独立卫生间和独立消毒间，配备服务需要的消毒设施设备。（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0280D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有独立卫生间和配备服务需要的清洗、消毒设施设备的独立清洗间（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）；只有其中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分）；没有（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分）。</w:t>
            </w:r>
          </w:p>
        </w:tc>
        <w:tc>
          <w:tcPr>
            <w:tcW w:w="793" w:type="dxa"/>
            <w:noWrap w:val="0"/>
            <w:vAlign w:val="center"/>
          </w:tcPr>
          <w:p w14:paraId="1FD74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2FC2A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独立清洗间不小于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㎡。</w:t>
            </w:r>
          </w:p>
        </w:tc>
      </w:tr>
      <w:tr w14:paraId="3256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3F701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4D8FC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3F60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声、光环境符合规定。（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337E0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室内安静、采光良好（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）；噪音刺耳，光线刺眼（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793" w:type="dxa"/>
            <w:noWrap w:val="0"/>
            <w:vAlign w:val="center"/>
          </w:tcPr>
          <w:p w14:paraId="177D5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6DA64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根据现场情况酌情量分。</w:t>
            </w:r>
          </w:p>
        </w:tc>
      </w:tr>
      <w:tr w14:paraId="7CC4E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1819F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664FE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31A24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周边环境符合规定。（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52FC2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机构经营场所周边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米内无射线、强光、噪音、粉尘、废气等污染源（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分）；有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项及以上（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分）。</w:t>
            </w:r>
          </w:p>
        </w:tc>
        <w:tc>
          <w:tcPr>
            <w:tcW w:w="793" w:type="dxa"/>
            <w:noWrap w:val="0"/>
            <w:vAlign w:val="center"/>
          </w:tcPr>
          <w:p w14:paraId="39DEB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3C589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根据现场情况酌情量分。</w:t>
            </w:r>
          </w:p>
        </w:tc>
      </w:tr>
      <w:tr w14:paraId="5D1AE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6ED82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4661B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6ADA7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设施符合国家、地方的建筑、安防、消防、医疗保健服务等方面的相关规定。（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1B9CA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完全符合（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），部分符合酌情扣分，扣完此项得分为止。</w:t>
            </w:r>
          </w:p>
        </w:tc>
        <w:tc>
          <w:tcPr>
            <w:tcW w:w="793" w:type="dxa"/>
            <w:noWrap w:val="0"/>
            <w:vAlign w:val="center"/>
          </w:tcPr>
          <w:p w14:paraId="09B91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2D615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发现严重安全隐患视为隐瞒不得申报情况，立即终止评审并按有关规定处理。</w:t>
            </w:r>
          </w:p>
        </w:tc>
      </w:tr>
      <w:tr w14:paraId="407F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61128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5C831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3A060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公共区域配备视频监控系统。（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18792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配备（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）；未配备（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793" w:type="dxa"/>
            <w:noWrap w:val="0"/>
            <w:vAlign w:val="center"/>
          </w:tcPr>
          <w:p w14:paraId="6AD92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40727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3844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28EA5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303E9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11BCD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消毒、废物处理等应符合有关规定，或委托有资质的机构进行处理。（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02A62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符合要求（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）；不符合（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793" w:type="dxa"/>
            <w:noWrap w:val="0"/>
            <w:vAlign w:val="center"/>
          </w:tcPr>
          <w:p w14:paraId="453D9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6E95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2A28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6" w:type="dxa"/>
            <w:noWrap w:val="0"/>
            <w:vAlign w:val="center"/>
          </w:tcPr>
          <w:p w14:paraId="56FC5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762EA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075C5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按摩服务区配备能正常使用的冷暖设备。（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3D7B5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配备（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）；未配备（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793" w:type="dxa"/>
            <w:noWrap w:val="0"/>
            <w:vAlign w:val="center"/>
          </w:tcPr>
          <w:p w14:paraId="1193A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28CBC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1B9E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0EA65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52797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15407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家具、电器等设施稳固、完好有效、无变形、无脱漆、无破损，玻璃门贴有防撞标志。（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6D30B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完全符合要求（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），部分符合酌情扣分，扣完此项得分为止。</w:t>
            </w:r>
          </w:p>
        </w:tc>
        <w:tc>
          <w:tcPr>
            <w:tcW w:w="793" w:type="dxa"/>
            <w:noWrap w:val="0"/>
            <w:vAlign w:val="center"/>
          </w:tcPr>
          <w:p w14:paraId="32D18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731F4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01AF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1939B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7EB32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49BE2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按摩床位数量配备满足要求。（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00859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配备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分），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张及以上（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分）。</w:t>
            </w:r>
          </w:p>
        </w:tc>
        <w:tc>
          <w:tcPr>
            <w:tcW w:w="793" w:type="dxa"/>
            <w:noWrap w:val="0"/>
            <w:vAlign w:val="center"/>
          </w:tcPr>
          <w:p w14:paraId="4EA6A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1440A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4580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5E446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6B149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7E572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配备满足服务需要的按摩床，每张按摩床配备床单、被子、按摩巾。（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2115B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完全具备（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分）；缺项酌情扣分，缺两项以上（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分）。</w:t>
            </w:r>
          </w:p>
        </w:tc>
        <w:tc>
          <w:tcPr>
            <w:tcW w:w="793" w:type="dxa"/>
            <w:noWrap w:val="0"/>
            <w:vAlign w:val="center"/>
          </w:tcPr>
          <w:p w14:paraId="5443D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2753F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按摩床位少于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张，立即终止评审。</w:t>
            </w:r>
          </w:p>
        </w:tc>
      </w:tr>
      <w:tr w14:paraId="0FD74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4AEDE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62A75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30B2F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重复使用的物品做到一客一换一清洗，且消毒后物品与未消毒物品严格区分、明确标识、隔离存放。</w:t>
            </w:r>
          </w:p>
          <w:p w14:paraId="04197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1C9E3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完全符合要求（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），部分符合酌情扣分，扣完此项得分为止。</w:t>
            </w:r>
          </w:p>
        </w:tc>
        <w:tc>
          <w:tcPr>
            <w:tcW w:w="793" w:type="dxa"/>
            <w:noWrap w:val="0"/>
            <w:vAlign w:val="center"/>
          </w:tcPr>
          <w:p w14:paraId="3082D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09AA3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6098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4E855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302A5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630C9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配备符合国家信息安全有关规定的服务流程管理、顾客信息管理、财务管理等数字化管理软件系统和硬件设施。（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77FB2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有（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）；无（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793" w:type="dxa"/>
            <w:noWrap w:val="0"/>
            <w:vAlign w:val="center"/>
          </w:tcPr>
          <w:p w14:paraId="7EF1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145B1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460B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6" w:type="dxa"/>
            <w:noWrap w:val="0"/>
            <w:vAlign w:val="center"/>
          </w:tcPr>
          <w:p w14:paraId="6DD6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079EF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4B2FE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统一制服。（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5B41A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统一（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分）；未统一（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分）。</w:t>
            </w:r>
          </w:p>
        </w:tc>
        <w:tc>
          <w:tcPr>
            <w:tcW w:w="793" w:type="dxa"/>
            <w:noWrap w:val="0"/>
            <w:vAlign w:val="center"/>
          </w:tcPr>
          <w:p w14:paraId="08027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4162F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46EB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076DA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64A83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7D8F6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从业人员卫生标准达标。（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5550A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全部从业人员完全达到标准（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分），有个别从业人员存在细小问题（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分），大多数从业人员卫生问题严重（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793" w:type="dxa"/>
            <w:noWrap w:val="0"/>
            <w:vAlign w:val="center"/>
          </w:tcPr>
          <w:p w14:paraId="58E7F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7CDB5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标准：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、从业人员着装整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、从业人员头发整齐干净，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、从业人员手指指甲整齐，指甲缝内无污迹、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、从业人员身体口腔无异味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且上钟时佩戴口罩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</w:tc>
      </w:tr>
      <w:tr w14:paraId="23D87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0980D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3F7AC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0AED6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管理人员和其他人员满足服务需求。（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15F6D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有专人负责管理、保洁、收银、后勤等工作（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）；店主或盲人按摩师兼职负责上述工作但不影响正常经营（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）；店主或盲人按摩师兼职负责上述工作且明显影响服务质量（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793" w:type="dxa"/>
            <w:noWrap w:val="0"/>
            <w:vAlign w:val="center"/>
          </w:tcPr>
          <w:p w14:paraId="33125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5916C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C70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6A9F4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9" w:type="dxa"/>
            <w:vMerge w:val="restart"/>
            <w:noWrap w:val="0"/>
            <w:vAlign w:val="center"/>
          </w:tcPr>
          <w:p w14:paraId="64990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带动人员就业情况</w:t>
            </w:r>
          </w:p>
          <w:p w14:paraId="2CD64E3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39" w:type="dxa"/>
            <w:noWrap w:val="0"/>
            <w:vAlign w:val="center"/>
          </w:tcPr>
          <w:p w14:paraId="6B933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盲人按摩师数量达标。（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3D796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人（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分），5至9人（3分），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人及以上（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793" w:type="dxa"/>
            <w:noWrap w:val="0"/>
            <w:vAlign w:val="center"/>
          </w:tcPr>
          <w:p w14:paraId="7D26E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5704E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此项为必须项，若不满足，则不得申报此标准对应类机构</w:t>
            </w:r>
          </w:p>
        </w:tc>
      </w:tr>
      <w:tr w14:paraId="1772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06" w:type="dxa"/>
            <w:noWrap w:val="0"/>
            <w:vAlign w:val="center"/>
          </w:tcPr>
          <w:p w14:paraId="7FD00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5A1CE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25B3D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盲人按摩师占总技师人数比例符合要求。（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0AB84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80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分），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50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%（含）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（不含）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分），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50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%（不含）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93" w:type="dxa"/>
            <w:noWrap w:val="0"/>
            <w:vAlign w:val="center"/>
          </w:tcPr>
          <w:p w14:paraId="46487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2BD6B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以上月钟时记录单上所在人员或上月工资发放记录为准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6A2E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777EE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0E5A4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70622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机构与盲人按摩师签订劳动协议。（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42C9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全员签订（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）；未全员签订，但签订劳动协议人数占员工总人数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%及以上（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签订劳动协议人数占员工总人数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%以下（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分）。</w:t>
            </w:r>
          </w:p>
        </w:tc>
        <w:tc>
          <w:tcPr>
            <w:tcW w:w="793" w:type="dxa"/>
            <w:noWrap w:val="0"/>
            <w:vAlign w:val="center"/>
          </w:tcPr>
          <w:p w14:paraId="1C099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6448C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合同签订时长不得少于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年且盲人按摩师在机构工作时长不少于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个月，盲人按摩师为机构负责人的可不签订合同。</w:t>
            </w:r>
          </w:p>
        </w:tc>
      </w:tr>
      <w:tr w14:paraId="7970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5EA85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715E5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2E146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盲人按摩师职业道德教育管理。（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28BAA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机构内按摩师不存在聚众闹事、公开场合发布与主流价值观不符言论、参与或教唆参与非法上访等恶意行为的（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分），存在的（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793" w:type="dxa"/>
            <w:noWrap w:val="0"/>
            <w:vAlign w:val="center"/>
          </w:tcPr>
          <w:p w14:paraId="7603F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526E3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由所在地残联提供情况。</w:t>
            </w:r>
          </w:p>
        </w:tc>
      </w:tr>
      <w:tr w14:paraId="46ED7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6F109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 w14:paraId="3326A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33D1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盲人按摩师平均工资不低于机构所在地最低工资标准。（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03B71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不低于机构所在地最低工资标准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（3分）；达到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机构所在地最低工资标准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倍及以上（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分）。</w:t>
            </w:r>
          </w:p>
        </w:tc>
        <w:tc>
          <w:tcPr>
            <w:tcW w:w="793" w:type="dxa"/>
            <w:noWrap w:val="0"/>
            <w:vAlign w:val="center"/>
          </w:tcPr>
          <w:p w14:paraId="55C81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7A2A7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以工资发放清册或职工工资银行流水为依据</w:t>
            </w:r>
          </w:p>
        </w:tc>
      </w:tr>
      <w:tr w14:paraId="15B2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37CE9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vMerge w:val="restart"/>
            <w:noWrap w:val="0"/>
            <w:vAlign w:val="center"/>
          </w:tcPr>
          <w:p w14:paraId="6CE9F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促进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按摩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行业发展情况</w:t>
            </w:r>
          </w:p>
          <w:p w14:paraId="02C3B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（加分项）</w:t>
            </w:r>
          </w:p>
        </w:tc>
        <w:tc>
          <w:tcPr>
            <w:tcW w:w="2939" w:type="dxa"/>
            <w:noWrap w:val="0"/>
            <w:vAlign w:val="center"/>
          </w:tcPr>
          <w:p w14:paraId="76440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盲人按摩师社保缴纳情况。（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7999F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为所有盲人按摩师缴纳社保（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%以上盲人按摩师缴纳社保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），为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%以上盲人按摩师缴纳社保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3" w:type="dxa"/>
            <w:noWrap w:val="0"/>
            <w:vAlign w:val="center"/>
          </w:tcPr>
          <w:p w14:paraId="26FDA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2DA39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五星级盲人按摩机构需全员缴纳职工社保</w:t>
            </w:r>
          </w:p>
        </w:tc>
      </w:tr>
      <w:tr w14:paraId="0228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162C3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vMerge w:val="continue"/>
            <w:noWrap w:val="0"/>
            <w:vAlign w:val="top"/>
          </w:tcPr>
          <w:p w14:paraId="3D777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7B097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医疗按摩发展情况。</w:t>
            </w:r>
          </w:p>
          <w:p w14:paraId="5794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1A860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持有医疗机构执业许可证（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），未持有（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3" w:type="dxa"/>
            <w:noWrap w:val="0"/>
            <w:vAlign w:val="center"/>
          </w:tcPr>
          <w:p w14:paraId="26638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7D7A5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08A11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7D519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vMerge w:val="continue"/>
            <w:noWrap w:val="0"/>
            <w:vAlign w:val="top"/>
          </w:tcPr>
          <w:p w14:paraId="4D2DD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5C258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机构纳入各级基本医疗保险定点协议管理。（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7E3C6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已纳入（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分），未纳入（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793" w:type="dxa"/>
            <w:noWrap w:val="0"/>
            <w:vAlign w:val="center"/>
          </w:tcPr>
          <w:p w14:paraId="307F4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0B331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47D4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 w14:paraId="096C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vMerge w:val="continue"/>
            <w:noWrap w:val="0"/>
            <w:vAlign w:val="top"/>
          </w:tcPr>
          <w:p w14:paraId="2C6CF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 w14:paraId="34CAC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机构品牌化、连锁化发展。（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0" w:type="dxa"/>
            <w:noWrap w:val="0"/>
            <w:vAlign w:val="center"/>
          </w:tcPr>
          <w:p w14:paraId="56992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同一机构品牌具备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家及以上店面（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家店面（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793" w:type="dxa"/>
            <w:noWrap w:val="0"/>
            <w:vAlign w:val="center"/>
          </w:tcPr>
          <w:p w14:paraId="68506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2B0C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机构店面需具备以下条件：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.法人或实控人需为同一人（实控人需提供股权证明，持股需大于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%）。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.各店面名称、装修风格、服务流程、收费价位统一。</w:t>
            </w:r>
          </w:p>
        </w:tc>
      </w:tr>
    </w:tbl>
    <w:p w14:paraId="49F8A18A">
      <w:pPr>
        <w:rPr>
          <w:color w:val="auto"/>
        </w:rPr>
        <w:sectPr>
          <w:footerReference r:id="rId4" w:type="default"/>
          <w:pgSz w:w="16838" w:h="11906" w:orient="landscape"/>
          <w:pgMar w:top="1474" w:right="2098" w:bottom="147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8C62CD0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22F0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951E3E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951E3E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82024">
    <w:pPr>
      <w:pStyle w:val="5"/>
      <w:ind w:right="360" w:firstLine="36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04FBBD">
                          <w:pPr>
                            <w:pStyle w:val="5"/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04FBBD">
                    <w:pPr>
                      <w:pStyle w:val="5"/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990D4">
    <w:pPr>
      <w:pStyle w:val="5"/>
      <w:ind w:right="360" w:firstLine="36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F1551D">
                          <w:pPr>
                            <w:pStyle w:val="5"/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F1551D">
                    <w:pPr>
                      <w:pStyle w:val="5"/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OTM4OGU4MjMwOTM3ZWJlMTQwYzIyNjA1YWM5OWQifQ=="/>
  </w:docVars>
  <w:rsids>
    <w:rsidRoot w:val="E5F76F84"/>
    <w:rsid w:val="6DF6C297"/>
    <w:rsid w:val="6F9D2571"/>
    <w:rsid w:val="76070B31"/>
    <w:rsid w:val="79F55090"/>
    <w:rsid w:val="E5F76F84"/>
    <w:rsid w:val="ECEDD0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1"/>
    <w:qFormat/>
    <w:uiPriority w:val="0"/>
    <w:pPr>
      <w:ind w:firstLine="200" w:firstLineChars="200"/>
    </w:pPr>
    <w:rPr>
      <w:color w:val="000000"/>
    </w:rPr>
  </w:style>
  <w:style w:type="paragraph" w:customStyle="1" w:styleId="3">
    <w:name w:val="正文 New New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next w:val="8"/>
    <w:qFormat/>
    <w:uiPriority w:val="0"/>
    <w:pPr>
      <w:widowControl w:val="0"/>
      <w:spacing w:line="560" w:lineRule="exact"/>
      <w:ind w:firstLine="660"/>
      <w:jc w:val="both"/>
    </w:pPr>
    <w:rPr>
      <w:rFonts w:ascii="仿宋_GB2312" w:hAnsi="Times New Roman" w:eastAsia="仿宋_GB2312" w:cs="Times New Roman"/>
      <w:b/>
      <w:bCs/>
      <w:kern w:val="2"/>
      <w:sz w:val="32"/>
      <w:szCs w:val="24"/>
    </w:rPr>
  </w:style>
  <w:style w:type="paragraph" w:customStyle="1" w:styleId="8">
    <w:name w:val="主题词"/>
    <w:basedOn w:val="1"/>
    <w:qFormat/>
    <w:uiPriority w:val="0"/>
    <w:pPr>
      <w:ind w:left="1246" w:hanging="1246"/>
    </w:pPr>
    <w:rPr>
      <w:rFonts w:ascii="Times New Roman" w:hAnsi="Times New Roman" w:eastAsia="公文小标宋简"/>
      <w:sz w:val="32"/>
      <w:szCs w:val="20"/>
    </w:rPr>
  </w:style>
  <w:style w:type="paragraph" w:styleId="9">
    <w:name w:val="Body Text First Indent"/>
    <w:basedOn w:val="4"/>
    <w:next w:val="7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rPr>
      <w:rFonts w:ascii="Calibri" w:hAnsi="Calibri"/>
    </w:rPr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2969</Words>
  <Characters>3040</Characters>
  <Lines>0</Lines>
  <Paragraphs>0</Paragraphs>
  <TotalTime>0</TotalTime>
  <ScaleCrop>false</ScaleCrop>
  <LinksUpToDate>false</LinksUpToDate>
  <CharactersWithSpaces>3040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2024-07-10T05:29:00Z</dcterms:created>
  <dc:creator>ysgz</dc:creator>
  <cp:lastModifiedBy>凤凰涅槃</cp:lastModifiedBy>
  <dcterms:modified xsi:type="dcterms:W3CDTF">2024-07-11T01:17:08Z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E7BB55D9C78E41D1AA6A8303877E2188_13</vt:lpwstr>
  </property>
</Properties>
</file>